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124" w:type="dxa"/>
        <w:tblInd w:w="3997" w:type="dxa"/>
        <w:tblLayout w:type="fixed"/>
        <w:tblCellMar>
          <w:left w:w="28" w:type="dxa"/>
          <w:right w:w="28" w:type="dxa"/>
        </w:tblCellMar>
        <w:tblLook w:val="0000" w:firstRow="0" w:lastRow="0" w:firstColumn="0" w:lastColumn="0" w:noHBand="0" w:noVBand="0"/>
      </w:tblPr>
      <w:tblGrid>
        <w:gridCol w:w="2495"/>
        <w:gridCol w:w="510"/>
        <w:gridCol w:w="284"/>
        <w:gridCol w:w="1701"/>
        <w:gridCol w:w="425"/>
        <w:gridCol w:w="283"/>
        <w:gridCol w:w="426"/>
      </w:tblGrid>
      <w:tr w:rsidR="0009720A" w:rsidRPr="00875A04" w14:paraId="039E3A4F" w14:textId="77777777" w:rsidTr="000625E1">
        <w:tc>
          <w:tcPr>
            <w:tcW w:w="2495" w:type="dxa"/>
            <w:tcBorders>
              <w:top w:val="nil"/>
              <w:left w:val="nil"/>
              <w:bottom w:val="nil"/>
              <w:right w:val="nil"/>
            </w:tcBorders>
            <w:vAlign w:val="bottom"/>
          </w:tcPr>
          <w:p w14:paraId="1AF64555" w14:textId="77777777" w:rsidR="0009720A" w:rsidRPr="00875A04" w:rsidRDefault="00CA560B" w:rsidP="000625E1">
            <w:pPr>
              <w:rPr>
                <w:sz w:val="22"/>
                <w:szCs w:val="22"/>
                <w:lang w:val="en-US"/>
              </w:rPr>
            </w:pPr>
            <w:bookmarkStart w:id="0" w:name="_GoBack"/>
            <w:bookmarkEnd w:id="0"/>
            <w:r>
              <w:rPr>
                <w:sz w:val="22"/>
                <w:szCs w:val="22"/>
              </w:rPr>
              <w:t xml:space="preserve">Зарегистрировано </w:t>
            </w:r>
            <w:r w:rsidRPr="00875A04">
              <w:rPr>
                <w:sz w:val="22"/>
                <w:szCs w:val="22"/>
              </w:rPr>
              <w:t xml:space="preserve">           </w:t>
            </w:r>
            <w:r w:rsidR="0009720A" w:rsidRPr="00384D25">
              <w:rPr>
                <w:b/>
                <w:sz w:val="22"/>
                <w:szCs w:val="22"/>
                <w:lang w:val="en-US"/>
              </w:rPr>
              <w:t>“</w:t>
            </w:r>
          </w:p>
        </w:tc>
        <w:tc>
          <w:tcPr>
            <w:tcW w:w="510" w:type="dxa"/>
            <w:tcBorders>
              <w:top w:val="nil"/>
              <w:left w:val="nil"/>
              <w:bottom w:val="single" w:sz="4" w:space="0" w:color="auto"/>
              <w:right w:val="nil"/>
            </w:tcBorders>
            <w:vAlign w:val="bottom"/>
          </w:tcPr>
          <w:p w14:paraId="74CE859F" w14:textId="77777777" w:rsidR="0009720A" w:rsidRPr="00384D25" w:rsidRDefault="0009720A" w:rsidP="0009720A">
            <w:pPr>
              <w:jc w:val="center"/>
              <w:rPr>
                <w:b/>
                <w:sz w:val="22"/>
                <w:szCs w:val="22"/>
              </w:rPr>
            </w:pPr>
          </w:p>
        </w:tc>
        <w:tc>
          <w:tcPr>
            <w:tcW w:w="284" w:type="dxa"/>
            <w:tcBorders>
              <w:top w:val="nil"/>
              <w:left w:val="nil"/>
              <w:bottom w:val="nil"/>
              <w:right w:val="nil"/>
            </w:tcBorders>
            <w:vAlign w:val="bottom"/>
          </w:tcPr>
          <w:p w14:paraId="31E92A5C" w14:textId="77777777" w:rsidR="0009720A" w:rsidRPr="00384D25" w:rsidRDefault="0009720A" w:rsidP="0009720A">
            <w:pPr>
              <w:rPr>
                <w:b/>
                <w:sz w:val="22"/>
                <w:szCs w:val="22"/>
              </w:rPr>
            </w:pPr>
            <w:r w:rsidRPr="00384D25">
              <w:rPr>
                <w:b/>
                <w:sz w:val="22"/>
                <w:szCs w:val="22"/>
              </w:rPr>
              <w:t>”</w:t>
            </w:r>
          </w:p>
        </w:tc>
        <w:tc>
          <w:tcPr>
            <w:tcW w:w="1701" w:type="dxa"/>
            <w:tcBorders>
              <w:top w:val="nil"/>
              <w:left w:val="nil"/>
              <w:bottom w:val="single" w:sz="4" w:space="0" w:color="auto"/>
              <w:right w:val="nil"/>
            </w:tcBorders>
            <w:vAlign w:val="bottom"/>
          </w:tcPr>
          <w:p w14:paraId="590AE02A" w14:textId="77777777" w:rsidR="0009720A" w:rsidRPr="00384D25" w:rsidRDefault="0009720A" w:rsidP="001333D7">
            <w:pPr>
              <w:jc w:val="center"/>
              <w:rPr>
                <w:b/>
                <w:sz w:val="22"/>
                <w:szCs w:val="22"/>
              </w:rPr>
            </w:pPr>
          </w:p>
        </w:tc>
        <w:tc>
          <w:tcPr>
            <w:tcW w:w="425" w:type="dxa"/>
            <w:tcBorders>
              <w:top w:val="nil"/>
              <w:left w:val="nil"/>
              <w:bottom w:val="nil"/>
              <w:right w:val="nil"/>
            </w:tcBorders>
            <w:vAlign w:val="bottom"/>
          </w:tcPr>
          <w:p w14:paraId="114695CF" w14:textId="77777777" w:rsidR="0009720A" w:rsidRPr="00384D25" w:rsidRDefault="0009720A" w:rsidP="0009720A">
            <w:pPr>
              <w:jc w:val="right"/>
              <w:rPr>
                <w:b/>
                <w:sz w:val="22"/>
                <w:szCs w:val="22"/>
              </w:rPr>
            </w:pPr>
            <w:r w:rsidRPr="00384D25">
              <w:rPr>
                <w:b/>
                <w:sz w:val="22"/>
                <w:szCs w:val="22"/>
              </w:rPr>
              <w:t>20</w:t>
            </w:r>
          </w:p>
        </w:tc>
        <w:tc>
          <w:tcPr>
            <w:tcW w:w="283" w:type="dxa"/>
            <w:tcBorders>
              <w:top w:val="nil"/>
              <w:left w:val="nil"/>
              <w:bottom w:val="single" w:sz="4" w:space="0" w:color="auto"/>
              <w:right w:val="nil"/>
            </w:tcBorders>
            <w:vAlign w:val="bottom"/>
          </w:tcPr>
          <w:p w14:paraId="5BEDE4EA" w14:textId="77777777" w:rsidR="0009720A" w:rsidRPr="00384D25" w:rsidRDefault="0009720A" w:rsidP="004233B0">
            <w:pPr>
              <w:rPr>
                <w:b/>
                <w:sz w:val="22"/>
                <w:szCs w:val="22"/>
              </w:rPr>
            </w:pPr>
          </w:p>
        </w:tc>
        <w:tc>
          <w:tcPr>
            <w:tcW w:w="426" w:type="dxa"/>
            <w:tcBorders>
              <w:top w:val="nil"/>
              <w:left w:val="nil"/>
              <w:bottom w:val="nil"/>
              <w:right w:val="nil"/>
            </w:tcBorders>
            <w:vAlign w:val="bottom"/>
          </w:tcPr>
          <w:p w14:paraId="5073C01F" w14:textId="77777777" w:rsidR="0009720A" w:rsidRPr="00875A04" w:rsidRDefault="0009720A" w:rsidP="0009720A">
            <w:pPr>
              <w:rPr>
                <w:sz w:val="22"/>
              </w:rPr>
            </w:pPr>
            <w:r w:rsidRPr="00875A04">
              <w:rPr>
                <w:sz w:val="22"/>
              </w:rPr>
              <w:t>г.</w:t>
            </w:r>
          </w:p>
        </w:tc>
      </w:tr>
    </w:tbl>
    <w:p w14:paraId="682FA264" w14:textId="77777777" w:rsidR="0009720A" w:rsidRPr="00875A04" w:rsidRDefault="0009720A" w:rsidP="0009720A">
      <w:pPr>
        <w:ind w:left="4536"/>
        <w:jc w:val="center"/>
        <w:rPr>
          <w:b/>
          <w:bCs/>
          <w:sz w:val="24"/>
          <w:szCs w:val="24"/>
        </w:rPr>
      </w:pPr>
    </w:p>
    <w:p w14:paraId="0675D14A" w14:textId="77777777" w:rsidR="0009720A" w:rsidRPr="00875A04" w:rsidRDefault="0009720A" w:rsidP="0009720A">
      <w:pPr>
        <w:ind w:left="4536"/>
        <w:jc w:val="center"/>
        <w:rPr>
          <w:sz w:val="24"/>
          <w:szCs w:val="24"/>
        </w:rPr>
      </w:pPr>
      <w:r w:rsidRPr="00875A04">
        <w:rPr>
          <w:b/>
          <w:bCs/>
          <w:sz w:val="24"/>
          <w:szCs w:val="24"/>
        </w:rPr>
        <w:t>ПАО Московская Биржа</w:t>
      </w:r>
    </w:p>
    <w:p w14:paraId="70EABA21" w14:textId="77777777" w:rsidR="0009720A" w:rsidRPr="00875A04" w:rsidRDefault="0009720A" w:rsidP="0009720A">
      <w:pPr>
        <w:pBdr>
          <w:top w:val="single" w:sz="4" w:space="1" w:color="auto"/>
        </w:pBdr>
        <w:ind w:left="4536" w:right="-2"/>
        <w:jc w:val="center"/>
        <w:rPr>
          <w:sz w:val="18"/>
          <w:szCs w:val="18"/>
        </w:rPr>
      </w:pPr>
      <w:r w:rsidRPr="00875A04">
        <w:rPr>
          <w:sz w:val="18"/>
          <w:szCs w:val="18"/>
        </w:rPr>
        <w:t>(наименование биржи)</w:t>
      </w:r>
    </w:p>
    <w:p w14:paraId="77F3714E" w14:textId="77777777" w:rsidR="0009720A" w:rsidRPr="00875A04" w:rsidRDefault="0009720A" w:rsidP="0009720A">
      <w:pPr>
        <w:ind w:left="4536" w:right="-2"/>
        <w:jc w:val="center"/>
        <w:rPr>
          <w:sz w:val="22"/>
          <w:szCs w:val="22"/>
        </w:rPr>
      </w:pPr>
    </w:p>
    <w:p w14:paraId="514EBE23" w14:textId="77777777" w:rsidR="0009720A" w:rsidRPr="00875A04" w:rsidRDefault="0009720A" w:rsidP="0009720A">
      <w:pPr>
        <w:ind w:left="4536" w:right="-2"/>
        <w:jc w:val="center"/>
        <w:rPr>
          <w:sz w:val="22"/>
          <w:szCs w:val="22"/>
        </w:rPr>
      </w:pPr>
    </w:p>
    <w:p w14:paraId="54E127D8" w14:textId="77777777" w:rsidR="0009720A" w:rsidRPr="00875A04" w:rsidRDefault="0009720A" w:rsidP="0009720A">
      <w:pPr>
        <w:pBdr>
          <w:top w:val="single" w:sz="4" w:space="1" w:color="auto"/>
        </w:pBdr>
        <w:ind w:left="4536" w:right="-2"/>
        <w:jc w:val="center"/>
        <w:rPr>
          <w:sz w:val="18"/>
          <w:szCs w:val="18"/>
        </w:rPr>
      </w:pPr>
      <w:r w:rsidRPr="00875A04">
        <w:rPr>
          <w:sz w:val="18"/>
          <w:szCs w:val="18"/>
        </w:rPr>
        <w:t>(подпись уполномоченного лица</w:t>
      </w:r>
      <w:r w:rsidR="00BA0157" w:rsidRPr="00875A04">
        <w:rPr>
          <w:sz w:val="18"/>
          <w:szCs w:val="18"/>
        </w:rPr>
        <w:t xml:space="preserve"> биржи</w:t>
      </w:r>
      <w:r w:rsidRPr="00875A04">
        <w:rPr>
          <w:sz w:val="18"/>
          <w:szCs w:val="18"/>
        </w:rPr>
        <w:t>)</w:t>
      </w:r>
    </w:p>
    <w:p w14:paraId="5CC26F38" w14:textId="77777777" w:rsidR="0009720A" w:rsidRPr="00875A04" w:rsidRDefault="0009720A" w:rsidP="0009720A">
      <w:pPr>
        <w:pBdr>
          <w:top w:val="single" w:sz="4" w:space="1" w:color="auto"/>
        </w:pBdr>
        <w:ind w:left="4536" w:right="-2"/>
        <w:jc w:val="center"/>
        <w:rPr>
          <w:sz w:val="18"/>
          <w:szCs w:val="18"/>
        </w:rPr>
      </w:pPr>
      <w:r w:rsidRPr="00875A04">
        <w:rPr>
          <w:sz w:val="18"/>
          <w:szCs w:val="18"/>
        </w:rPr>
        <w:t>(печать)</w:t>
      </w:r>
    </w:p>
    <w:p w14:paraId="2A31AACF" w14:textId="77777777" w:rsidR="00672777" w:rsidRPr="00875A04" w:rsidRDefault="00672777" w:rsidP="00A14FCC">
      <w:pPr>
        <w:widowControl w:val="0"/>
        <w:spacing w:line="361" w:lineRule="exact"/>
        <w:ind w:left="1701" w:right="1675"/>
        <w:jc w:val="center"/>
        <w:rPr>
          <w:b/>
          <w:bCs/>
          <w:position w:val="-1"/>
        </w:rPr>
      </w:pPr>
    </w:p>
    <w:p w14:paraId="4E729D84" w14:textId="77777777" w:rsidR="00A65233" w:rsidRPr="00875A04" w:rsidRDefault="00A65233" w:rsidP="00A65233"/>
    <w:p w14:paraId="1E11B463" w14:textId="77777777" w:rsidR="005F232E" w:rsidRPr="00875A04" w:rsidRDefault="005F232E" w:rsidP="00C445CC">
      <w:pPr>
        <w:pStyle w:val="21"/>
        <w:spacing w:before="0"/>
        <w:rPr>
          <w:sz w:val="36"/>
          <w:szCs w:val="36"/>
        </w:rPr>
      </w:pPr>
    </w:p>
    <w:p w14:paraId="2841EEDE" w14:textId="77777777" w:rsidR="005F232E" w:rsidRPr="00875A04" w:rsidRDefault="0009720A" w:rsidP="00C445CC">
      <w:pPr>
        <w:pStyle w:val="21"/>
        <w:spacing w:before="0"/>
        <w:rPr>
          <w:sz w:val="36"/>
          <w:szCs w:val="36"/>
        </w:rPr>
      </w:pPr>
      <w:r w:rsidRPr="00875A04">
        <w:rPr>
          <w:sz w:val="36"/>
          <w:szCs w:val="36"/>
        </w:rPr>
        <w:t xml:space="preserve">ИЗМЕНЕНИЯ </w:t>
      </w:r>
    </w:p>
    <w:p w14:paraId="04757745" w14:textId="77777777" w:rsidR="00C445CC" w:rsidRPr="00875A04" w:rsidRDefault="0009720A" w:rsidP="00C445CC">
      <w:pPr>
        <w:pStyle w:val="21"/>
        <w:spacing w:before="0"/>
        <w:rPr>
          <w:sz w:val="36"/>
          <w:szCs w:val="36"/>
        </w:rPr>
      </w:pPr>
      <w:r w:rsidRPr="00875A04">
        <w:rPr>
          <w:sz w:val="36"/>
          <w:szCs w:val="36"/>
        </w:rPr>
        <w:t xml:space="preserve">В </w:t>
      </w:r>
      <w:r w:rsidR="0011078C" w:rsidRPr="00875A04">
        <w:rPr>
          <w:sz w:val="36"/>
          <w:szCs w:val="36"/>
        </w:rPr>
        <w:t xml:space="preserve">УСЛОВИЯ ВЫПУСКА БИРЖЕВЫХ </w:t>
      </w:r>
      <w:r w:rsidR="00C445CC" w:rsidRPr="00875A04">
        <w:rPr>
          <w:sz w:val="36"/>
          <w:szCs w:val="36"/>
        </w:rPr>
        <w:t xml:space="preserve">ОБЛИГАЦИЙ </w:t>
      </w:r>
    </w:p>
    <w:p w14:paraId="296D4385" w14:textId="77777777" w:rsidR="0011078C" w:rsidRPr="00875A04" w:rsidRDefault="00C445CC" w:rsidP="00C445CC">
      <w:pPr>
        <w:pStyle w:val="21"/>
        <w:spacing w:before="0"/>
        <w:rPr>
          <w:sz w:val="36"/>
          <w:szCs w:val="36"/>
        </w:rPr>
      </w:pPr>
      <w:r w:rsidRPr="00875A04">
        <w:rPr>
          <w:sz w:val="36"/>
          <w:szCs w:val="36"/>
        </w:rPr>
        <w:t>В РАМКАХ ПРОГРАММЫ БИРЖЕВЫХ ОБЛИГАЦИЙ</w:t>
      </w:r>
    </w:p>
    <w:p w14:paraId="5FC41AA8" w14:textId="77777777" w:rsidR="00A03FB4" w:rsidRPr="00875A04" w:rsidRDefault="00A03FB4" w:rsidP="0013279D">
      <w:pPr>
        <w:autoSpaceDE/>
        <w:autoSpaceDN/>
        <w:jc w:val="center"/>
        <w:rPr>
          <w:b/>
          <w:lang w:eastAsia="en-US"/>
        </w:rPr>
      </w:pPr>
    </w:p>
    <w:p w14:paraId="013F9AF8" w14:textId="77777777" w:rsidR="005F232E" w:rsidRPr="00875A04" w:rsidRDefault="005F232E" w:rsidP="00E0556F">
      <w:pPr>
        <w:autoSpaceDE/>
        <w:autoSpaceDN/>
        <w:jc w:val="center"/>
        <w:rPr>
          <w:b/>
          <w:sz w:val="28"/>
          <w:szCs w:val="28"/>
          <w:lang w:eastAsia="en-US"/>
        </w:rPr>
      </w:pPr>
    </w:p>
    <w:p w14:paraId="0028B9D8" w14:textId="77777777" w:rsidR="005F232E" w:rsidRPr="00875A04" w:rsidRDefault="005F232E" w:rsidP="00E0556F">
      <w:pPr>
        <w:autoSpaceDE/>
        <w:autoSpaceDN/>
        <w:jc w:val="center"/>
        <w:rPr>
          <w:b/>
          <w:sz w:val="28"/>
          <w:szCs w:val="28"/>
          <w:lang w:eastAsia="en-US"/>
        </w:rPr>
      </w:pPr>
    </w:p>
    <w:p w14:paraId="356E4B38" w14:textId="77777777" w:rsidR="0011078C" w:rsidRPr="00875A04" w:rsidRDefault="00086AEC" w:rsidP="00E0556F">
      <w:pPr>
        <w:autoSpaceDE/>
        <w:autoSpaceDN/>
        <w:jc w:val="center"/>
        <w:rPr>
          <w:b/>
          <w:bCs/>
          <w:i/>
          <w:iCs/>
          <w:sz w:val="28"/>
          <w:szCs w:val="28"/>
          <w:lang w:eastAsia="en-US"/>
        </w:rPr>
      </w:pPr>
      <w:r w:rsidRPr="00875A04">
        <w:rPr>
          <w:b/>
          <w:sz w:val="28"/>
          <w:szCs w:val="28"/>
          <w:lang w:eastAsia="en-US"/>
        </w:rPr>
        <w:t>Общество с ограниченной ответственностью «ДелоПортс»</w:t>
      </w:r>
    </w:p>
    <w:p w14:paraId="634867B6" w14:textId="77777777" w:rsidR="00AC758B" w:rsidRPr="00875A04" w:rsidRDefault="00AC758B" w:rsidP="00E0556F">
      <w:pPr>
        <w:jc w:val="center"/>
        <w:rPr>
          <w:b/>
          <w:bCs/>
          <w:i/>
          <w:iCs/>
          <w:sz w:val="22"/>
          <w:szCs w:val="22"/>
        </w:rPr>
      </w:pPr>
    </w:p>
    <w:p w14:paraId="6BBFA6AD" w14:textId="77777777" w:rsidR="005F232E" w:rsidRPr="00875A04" w:rsidRDefault="005F232E" w:rsidP="00E0556F">
      <w:pPr>
        <w:spacing w:after="120"/>
        <w:jc w:val="center"/>
        <w:rPr>
          <w:b/>
          <w:bCs/>
          <w:i/>
          <w:iCs/>
          <w:sz w:val="22"/>
          <w:szCs w:val="22"/>
        </w:rPr>
      </w:pPr>
    </w:p>
    <w:p w14:paraId="326A3AD4" w14:textId="77777777" w:rsidR="0011078C" w:rsidRPr="00875A04" w:rsidRDefault="004E513E" w:rsidP="00E0556F">
      <w:pPr>
        <w:spacing w:after="120"/>
        <w:jc w:val="center"/>
        <w:rPr>
          <w:b/>
          <w:bCs/>
          <w:i/>
          <w:iCs/>
          <w:sz w:val="22"/>
          <w:szCs w:val="22"/>
        </w:rPr>
      </w:pPr>
      <w:r w:rsidRPr="00875A04">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w:t>
      </w:r>
      <w:r w:rsidR="0011078C" w:rsidRPr="00875A04">
        <w:rPr>
          <w:b/>
          <w:bCs/>
          <w:i/>
          <w:iCs/>
          <w:sz w:val="22"/>
          <w:szCs w:val="22"/>
        </w:rPr>
        <w:t xml:space="preserve">серии </w:t>
      </w:r>
      <w:r w:rsidR="00946F85" w:rsidRPr="00875A04">
        <w:rPr>
          <w:b/>
          <w:bCs/>
          <w:i/>
          <w:iCs/>
          <w:sz w:val="22"/>
          <w:szCs w:val="22"/>
        </w:rPr>
        <w:t>001Р-0</w:t>
      </w:r>
      <w:r w:rsidR="00E0556F" w:rsidRPr="00875A04">
        <w:rPr>
          <w:b/>
          <w:bCs/>
          <w:i/>
          <w:iCs/>
          <w:sz w:val="22"/>
          <w:szCs w:val="22"/>
        </w:rPr>
        <w:t>2</w:t>
      </w:r>
      <w:r w:rsidR="00C41E18" w:rsidRPr="00875A04">
        <w:rPr>
          <w:b/>
          <w:bCs/>
          <w:i/>
          <w:iCs/>
          <w:sz w:val="22"/>
          <w:szCs w:val="22"/>
        </w:rPr>
        <w:t xml:space="preserve"> </w:t>
      </w:r>
      <w:r w:rsidR="0011078C" w:rsidRPr="00875A04">
        <w:rPr>
          <w:b/>
          <w:bCs/>
          <w:i/>
          <w:iCs/>
          <w:sz w:val="22"/>
          <w:szCs w:val="22"/>
        </w:rPr>
        <w:t xml:space="preserve">в количестве </w:t>
      </w:r>
      <w:r w:rsidR="00E0556F" w:rsidRPr="00875A04">
        <w:rPr>
          <w:b/>
          <w:bCs/>
          <w:i/>
          <w:iCs/>
          <w:sz w:val="22"/>
          <w:szCs w:val="22"/>
        </w:rPr>
        <w:t>1</w:t>
      </w:r>
      <w:r w:rsidR="00421399" w:rsidRPr="00875A04">
        <w:rPr>
          <w:b/>
          <w:bCs/>
          <w:i/>
          <w:iCs/>
          <w:sz w:val="22"/>
          <w:szCs w:val="22"/>
        </w:rPr>
        <w:t>4</w:t>
      </w:r>
      <w:r w:rsidRPr="00875A04">
        <w:rPr>
          <w:b/>
          <w:bCs/>
          <w:i/>
          <w:iCs/>
          <w:sz w:val="22"/>
          <w:szCs w:val="22"/>
        </w:rPr>
        <w:t>0</w:t>
      </w:r>
      <w:r w:rsidR="00E0556F" w:rsidRPr="00875A04">
        <w:rPr>
          <w:b/>
          <w:bCs/>
          <w:i/>
          <w:iCs/>
          <w:sz w:val="22"/>
          <w:szCs w:val="22"/>
        </w:rPr>
        <w:t xml:space="preserve"> </w:t>
      </w:r>
      <w:r w:rsidRPr="00875A04">
        <w:rPr>
          <w:b/>
          <w:bCs/>
          <w:i/>
          <w:iCs/>
          <w:sz w:val="22"/>
          <w:szCs w:val="22"/>
        </w:rPr>
        <w:t>0</w:t>
      </w:r>
      <w:r w:rsidR="00E0556F" w:rsidRPr="00875A04">
        <w:rPr>
          <w:b/>
          <w:bCs/>
          <w:i/>
          <w:iCs/>
          <w:sz w:val="22"/>
          <w:szCs w:val="22"/>
        </w:rPr>
        <w:t>0</w:t>
      </w:r>
      <w:r w:rsidRPr="00875A04">
        <w:rPr>
          <w:b/>
          <w:bCs/>
          <w:i/>
          <w:iCs/>
          <w:sz w:val="22"/>
          <w:szCs w:val="22"/>
        </w:rPr>
        <w:t>0</w:t>
      </w:r>
      <w:r w:rsidR="00E0556F" w:rsidRPr="00875A04">
        <w:rPr>
          <w:b/>
          <w:bCs/>
          <w:i/>
          <w:iCs/>
          <w:sz w:val="22"/>
          <w:szCs w:val="22"/>
        </w:rPr>
        <w:t xml:space="preserve"> </w:t>
      </w:r>
      <w:r w:rsidR="0011078C" w:rsidRPr="00875A04">
        <w:rPr>
          <w:b/>
          <w:bCs/>
          <w:i/>
          <w:iCs/>
          <w:sz w:val="22"/>
          <w:szCs w:val="22"/>
        </w:rPr>
        <w:t>(</w:t>
      </w:r>
      <w:r w:rsidR="00E0556F" w:rsidRPr="00875A04">
        <w:rPr>
          <w:b/>
          <w:bCs/>
          <w:i/>
          <w:iCs/>
          <w:sz w:val="22"/>
          <w:szCs w:val="22"/>
        </w:rPr>
        <w:t xml:space="preserve">Сто </w:t>
      </w:r>
      <w:r w:rsidR="00421399" w:rsidRPr="00875A04">
        <w:rPr>
          <w:b/>
          <w:bCs/>
          <w:i/>
          <w:iCs/>
          <w:sz w:val="22"/>
          <w:szCs w:val="22"/>
        </w:rPr>
        <w:t>сорок</w:t>
      </w:r>
      <w:r w:rsidR="00E0556F" w:rsidRPr="00875A04">
        <w:rPr>
          <w:b/>
          <w:bCs/>
          <w:i/>
          <w:iCs/>
          <w:sz w:val="22"/>
          <w:szCs w:val="22"/>
        </w:rPr>
        <w:t xml:space="preserve"> тысяч</w:t>
      </w:r>
      <w:r w:rsidRPr="00875A04">
        <w:rPr>
          <w:b/>
          <w:bCs/>
          <w:i/>
          <w:iCs/>
          <w:sz w:val="22"/>
          <w:szCs w:val="22"/>
        </w:rPr>
        <w:t>)</w:t>
      </w:r>
      <w:r w:rsidR="0011078C" w:rsidRPr="00875A04">
        <w:rPr>
          <w:b/>
          <w:bCs/>
          <w:i/>
          <w:iCs/>
          <w:sz w:val="22"/>
          <w:szCs w:val="22"/>
        </w:rPr>
        <w:t xml:space="preserve"> штук, номинальной стоимостью 1</w:t>
      </w:r>
      <w:r w:rsidRPr="00875A04">
        <w:rPr>
          <w:b/>
          <w:bCs/>
          <w:i/>
          <w:iCs/>
          <w:sz w:val="22"/>
          <w:szCs w:val="22"/>
        </w:rPr>
        <w:t> </w:t>
      </w:r>
      <w:r w:rsidR="0011078C" w:rsidRPr="00875A04">
        <w:rPr>
          <w:b/>
          <w:bCs/>
          <w:i/>
          <w:iCs/>
          <w:sz w:val="22"/>
          <w:szCs w:val="22"/>
        </w:rPr>
        <w:t xml:space="preserve">000 (Одна тысяча) </w:t>
      </w:r>
      <w:r w:rsidR="00E0556F" w:rsidRPr="00875A04">
        <w:rPr>
          <w:b/>
          <w:bCs/>
          <w:i/>
          <w:iCs/>
          <w:sz w:val="22"/>
          <w:szCs w:val="22"/>
        </w:rPr>
        <w:t xml:space="preserve">долларов США </w:t>
      </w:r>
      <w:r w:rsidR="0011078C" w:rsidRPr="00875A04">
        <w:rPr>
          <w:b/>
          <w:bCs/>
          <w:i/>
          <w:iCs/>
          <w:sz w:val="22"/>
          <w:szCs w:val="22"/>
        </w:rPr>
        <w:t>каждая</w:t>
      </w:r>
      <w:r w:rsidR="00E16684" w:rsidRPr="00875A04">
        <w:rPr>
          <w:b/>
          <w:bCs/>
          <w:i/>
          <w:iCs/>
          <w:sz w:val="22"/>
          <w:szCs w:val="22"/>
        </w:rPr>
        <w:t xml:space="preserve">, </w:t>
      </w:r>
      <w:r w:rsidR="00E44BE1" w:rsidRPr="00875A04">
        <w:rPr>
          <w:b/>
          <w:bCs/>
          <w:i/>
          <w:iCs/>
          <w:sz w:val="22"/>
          <w:szCs w:val="22"/>
        </w:rPr>
        <w:t>со сроком погашения</w:t>
      </w:r>
      <w:r w:rsidR="00AC758B" w:rsidRPr="00875A04">
        <w:rPr>
          <w:b/>
          <w:bCs/>
          <w:i/>
          <w:iCs/>
          <w:sz w:val="22"/>
          <w:szCs w:val="22"/>
        </w:rPr>
        <w:t xml:space="preserve"> </w:t>
      </w:r>
      <w:r w:rsidR="00E44BE1" w:rsidRPr="00875A04">
        <w:rPr>
          <w:b/>
          <w:bCs/>
          <w:i/>
          <w:iCs/>
          <w:sz w:val="22"/>
          <w:szCs w:val="22"/>
        </w:rPr>
        <w:t xml:space="preserve">в </w:t>
      </w:r>
      <w:r w:rsidR="00E0556F" w:rsidRPr="00875A04">
        <w:rPr>
          <w:b/>
          <w:bCs/>
          <w:i/>
          <w:iCs/>
          <w:sz w:val="22"/>
          <w:szCs w:val="22"/>
        </w:rPr>
        <w:t>2 548</w:t>
      </w:r>
      <w:r w:rsidR="00E44BE1" w:rsidRPr="00875A04">
        <w:rPr>
          <w:b/>
          <w:bCs/>
          <w:i/>
          <w:iCs/>
          <w:sz w:val="22"/>
          <w:szCs w:val="22"/>
        </w:rPr>
        <w:t xml:space="preserve"> (</w:t>
      </w:r>
      <w:r w:rsidR="00E0556F" w:rsidRPr="00875A04">
        <w:rPr>
          <w:b/>
          <w:bCs/>
          <w:i/>
          <w:iCs/>
          <w:sz w:val="22"/>
          <w:szCs w:val="22"/>
        </w:rPr>
        <w:t>Две тысячи пятьсот сорок восьмой</w:t>
      </w:r>
      <w:r w:rsidR="00672777" w:rsidRPr="00875A04">
        <w:rPr>
          <w:b/>
          <w:bCs/>
          <w:i/>
          <w:iCs/>
          <w:sz w:val="22"/>
          <w:szCs w:val="22"/>
        </w:rPr>
        <w:t>) день</w:t>
      </w:r>
      <w:r w:rsidR="00E44BE1" w:rsidRPr="00875A04">
        <w:rPr>
          <w:b/>
          <w:bCs/>
          <w:i/>
          <w:iCs/>
          <w:sz w:val="22"/>
          <w:szCs w:val="22"/>
        </w:rPr>
        <w:t xml:space="preserve"> с даты начала размещения</w:t>
      </w:r>
      <w:r w:rsidR="00AC758B" w:rsidRPr="00875A04">
        <w:rPr>
          <w:b/>
          <w:bCs/>
          <w:i/>
          <w:iCs/>
          <w:sz w:val="22"/>
          <w:szCs w:val="22"/>
        </w:rPr>
        <w:t xml:space="preserve"> биржевых облигаций</w:t>
      </w:r>
      <w:r w:rsidR="00E44BE1" w:rsidRPr="00875A04">
        <w:rPr>
          <w:b/>
          <w:bCs/>
          <w:i/>
          <w:iCs/>
          <w:sz w:val="22"/>
          <w:szCs w:val="22"/>
        </w:rPr>
        <w:t xml:space="preserve">, </w:t>
      </w:r>
      <w:r w:rsidR="004D31FC" w:rsidRPr="00875A04">
        <w:rPr>
          <w:b/>
          <w:bCs/>
          <w:i/>
          <w:iCs/>
          <w:sz w:val="22"/>
          <w:szCs w:val="22"/>
        </w:rPr>
        <w:t xml:space="preserve">размещенные </w:t>
      </w:r>
      <w:r w:rsidR="00E44BE1" w:rsidRPr="00875A04">
        <w:rPr>
          <w:b/>
          <w:bCs/>
          <w:i/>
          <w:iCs/>
          <w:sz w:val="22"/>
          <w:szCs w:val="22"/>
        </w:rPr>
        <w:t>по открытой подписке</w:t>
      </w:r>
    </w:p>
    <w:p w14:paraId="305F93C9" w14:textId="77777777" w:rsidR="00E0556F" w:rsidRPr="00875A04" w:rsidRDefault="00E0556F" w:rsidP="00E0556F">
      <w:pPr>
        <w:tabs>
          <w:tab w:val="right" w:pos="9923"/>
        </w:tabs>
        <w:jc w:val="center"/>
        <w:rPr>
          <w:b/>
          <w:bCs/>
          <w:i/>
          <w:iCs/>
          <w:sz w:val="22"/>
          <w:szCs w:val="22"/>
        </w:rPr>
      </w:pPr>
    </w:p>
    <w:p w14:paraId="5DB54568" w14:textId="77777777" w:rsidR="005F232E" w:rsidRPr="00875A04" w:rsidRDefault="005F232E" w:rsidP="00E0556F">
      <w:pPr>
        <w:tabs>
          <w:tab w:val="right" w:pos="9923"/>
        </w:tabs>
        <w:jc w:val="center"/>
        <w:rPr>
          <w:b/>
          <w:bCs/>
          <w:i/>
          <w:iCs/>
          <w:sz w:val="22"/>
          <w:szCs w:val="22"/>
        </w:rPr>
      </w:pPr>
    </w:p>
    <w:p w14:paraId="0E349A40" w14:textId="77777777" w:rsidR="00E0556F" w:rsidRPr="00875A04" w:rsidRDefault="00154E33" w:rsidP="00E0556F">
      <w:pPr>
        <w:tabs>
          <w:tab w:val="right" w:pos="9923"/>
        </w:tabs>
        <w:jc w:val="center"/>
        <w:rPr>
          <w:b/>
          <w:bCs/>
          <w:i/>
          <w:iCs/>
          <w:sz w:val="22"/>
          <w:szCs w:val="22"/>
        </w:rPr>
      </w:pPr>
      <w:r w:rsidRPr="00875A04">
        <w:rPr>
          <w:b/>
          <w:bCs/>
          <w:i/>
          <w:iCs/>
          <w:sz w:val="22"/>
          <w:szCs w:val="22"/>
        </w:rPr>
        <w:t>Программа биржевых облигаций серии 001Р</w:t>
      </w:r>
      <w:r w:rsidR="00E0556F" w:rsidRPr="00875A04">
        <w:rPr>
          <w:b/>
          <w:bCs/>
          <w:i/>
          <w:iCs/>
          <w:sz w:val="22"/>
          <w:szCs w:val="22"/>
        </w:rPr>
        <w:t>,</w:t>
      </w:r>
    </w:p>
    <w:p w14:paraId="130E3935" w14:textId="77777777" w:rsidR="00E0556F" w:rsidRPr="00875A04" w:rsidRDefault="00E0556F" w:rsidP="00E0556F">
      <w:pPr>
        <w:tabs>
          <w:tab w:val="right" w:pos="9923"/>
        </w:tabs>
        <w:jc w:val="center"/>
        <w:rPr>
          <w:b/>
          <w:bCs/>
          <w:i/>
          <w:iCs/>
          <w:sz w:val="22"/>
          <w:szCs w:val="22"/>
        </w:rPr>
      </w:pPr>
      <w:r w:rsidRPr="00875A04">
        <w:rPr>
          <w:b/>
          <w:bCs/>
          <w:i/>
          <w:iCs/>
          <w:sz w:val="22"/>
          <w:szCs w:val="22"/>
        </w:rPr>
        <w:t>имеющая идентификационный номер 4-36485-R-001P-02E от 15.08.2016</w:t>
      </w:r>
    </w:p>
    <w:p w14:paraId="23B56353" w14:textId="77777777" w:rsidR="00E0556F" w:rsidRPr="00875A04" w:rsidRDefault="00E0556F" w:rsidP="00E0556F">
      <w:pPr>
        <w:tabs>
          <w:tab w:val="right" w:pos="9923"/>
        </w:tabs>
        <w:jc w:val="center"/>
        <w:rPr>
          <w:b/>
          <w:bCs/>
          <w:i/>
          <w:iCs/>
          <w:sz w:val="22"/>
          <w:szCs w:val="22"/>
        </w:rPr>
      </w:pPr>
    </w:p>
    <w:p w14:paraId="00B01C0E" w14:textId="77777777" w:rsidR="0009720A" w:rsidRPr="00875A04" w:rsidRDefault="0009720A" w:rsidP="00E0556F">
      <w:pPr>
        <w:tabs>
          <w:tab w:val="right" w:pos="9923"/>
        </w:tabs>
        <w:jc w:val="both"/>
        <w:rPr>
          <w:sz w:val="22"/>
          <w:szCs w:val="22"/>
        </w:rPr>
      </w:pPr>
    </w:p>
    <w:p w14:paraId="7F3101B3" w14:textId="77777777" w:rsidR="0009720A" w:rsidRPr="00875A04" w:rsidRDefault="0009720A" w:rsidP="00E0556F">
      <w:pPr>
        <w:tabs>
          <w:tab w:val="right" w:pos="9923"/>
        </w:tabs>
        <w:jc w:val="both"/>
        <w:rPr>
          <w:sz w:val="22"/>
          <w:szCs w:val="22"/>
        </w:rPr>
      </w:pPr>
    </w:p>
    <w:p w14:paraId="161B2E36" w14:textId="77777777" w:rsidR="0009720A" w:rsidRPr="00875A04" w:rsidRDefault="0009720A" w:rsidP="0009720A">
      <w:pPr>
        <w:rPr>
          <w:sz w:val="24"/>
        </w:rPr>
      </w:pPr>
      <w:r w:rsidRPr="00875A04">
        <w:rPr>
          <w:sz w:val="24"/>
        </w:rPr>
        <w:t>Идентификационный номер выпуска ценных бумаг</w:t>
      </w:r>
      <w:r w:rsidRPr="00875A04">
        <w:rPr>
          <w:sz w:val="24"/>
        </w:rPr>
        <w:br/>
      </w:r>
    </w:p>
    <w:tbl>
      <w:tblPr>
        <w:tblW w:w="0" w:type="auto"/>
        <w:jc w:val="center"/>
        <w:tblLayout w:type="fixed"/>
        <w:tblCellMar>
          <w:left w:w="28" w:type="dxa"/>
          <w:right w:w="28" w:type="dxa"/>
        </w:tblCellMar>
        <w:tblLook w:val="0000" w:firstRow="0" w:lastRow="0" w:firstColumn="0" w:lastColumn="0" w:noHBand="0" w:noVBand="0"/>
      </w:tblPr>
      <w:tblGrid>
        <w:gridCol w:w="284"/>
        <w:gridCol w:w="284"/>
        <w:gridCol w:w="283"/>
        <w:gridCol w:w="283"/>
        <w:gridCol w:w="284"/>
        <w:gridCol w:w="283"/>
        <w:gridCol w:w="284"/>
        <w:gridCol w:w="283"/>
        <w:gridCol w:w="283"/>
        <w:gridCol w:w="283"/>
        <w:gridCol w:w="284"/>
        <w:gridCol w:w="283"/>
        <w:gridCol w:w="284"/>
        <w:gridCol w:w="284"/>
        <w:gridCol w:w="284"/>
        <w:gridCol w:w="284"/>
        <w:gridCol w:w="284"/>
        <w:gridCol w:w="284"/>
        <w:gridCol w:w="284"/>
        <w:gridCol w:w="284"/>
      </w:tblGrid>
      <w:tr w:rsidR="00FB3785" w:rsidRPr="00875A04" w14:paraId="46E7926A" w14:textId="77777777" w:rsidTr="00BA3EFC">
        <w:trPr>
          <w:jc w:val="center"/>
        </w:trPr>
        <w:tc>
          <w:tcPr>
            <w:tcW w:w="284" w:type="dxa"/>
            <w:tcBorders>
              <w:top w:val="single" w:sz="4" w:space="0" w:color="auto"/>
              <w:left w:val="single" w:sz="4" w:space="0" w:color="auto"/>
              <w:bottom w:val="single" w:sz="4" w:space="0" w:color="auto"/>
              <w:right w:val="single" w:sz="4" w:space="0" w:color="auto"/>
            </w:tcBorders>
            <w:vAlign w:val="center"/>
          </w:tcPr>
          <w:p w14:paraId="2BC88823" w14:textId="77777777" w:rsidR="00FB3785" w:rsidRPr="00875A04" w:rsidRDefault="00FB3785" w:rsidP="00BA3EFC">
            <w:pPr>
              <w:jc w:val="center"/>
              <w:rPr>
                <w:b/>
                <w:sz w:val="24"/>
                <w:szCs w:val="24"/>
              </w:rPr>
            </w:pPr>
            <w:r w:rsidRPr="00875A04">
              <w:rPr>
                <w:b/>
                <w:sz w:val="24"/>
                <w:szCs w:val="24"/>
              </w:rPr>
              <w:t>4</w:t>
            </w:r>
          </w:p>
        </w:tc>
        <w:tc>
          <w:tcPr>
            <w:tcW w:w="284" w:type="dxa"/>
            <w:tcBorders>
              <w:top w:val="single" w:sz="4" w:space="0" w:color="auto"/>
              <w:left w:val="single" w:sz="4" w:space="0" w:color="auto"/>
              <w:bottom w:val="single" w:sz="4" w:space="0" w:color="auto"/>
              <w:right w:val="single" w:sz="4" w:space="0" w:color="auto"/>
            </w:tcBorders>
            <w:vAlign w:val="center"/>
          </w:tcPr>
          <w:p w14:paraId="471B7B3C" w14:textId="77777777" w:rsidR="00FB3785" w:rsidRPr="00875A04" w:rsidRDefault="00FB3785" w:rsidP="00BA3EFC">
            <w:pPr>
              <w:jc w:val="center"/>
              <w:rPr>
                <w:b/>
                <w:sz w:val="24"/>
                <w:szCs w:val="24"/>
              </w:rPr>
            </w:pPr>
            <w:r w:rsidRPr="00875A04">
              <w:rPr>
                <w:b/>
                <w:sz w:val="24"/>
                <w:szCs w:val="24"/>
              </w:rPr>
              <w:t>B</w:t>
            </w:r>
          </w:p>
        </w:tc>
        <w:tc>
          <w:tcPr>
            <w:tcW w:w="283" w:type="dxa"/>
            <w:tcBorders>
              <w:top w:val="single" w:sz="4" w:space="0" w:color="auto"/>
              <w:left w:val="single" w:sz="4" w:space="0" w:color="auto"/>
              <w:bottom w:val="single" w:sz="4" w:space="0" w:color="auto"/>
              <w:right w:val="single" w:sz="4" w:space="0" w:color="auto"/>
            </w:tcBorders>
            <w:vAlign w:val="center"/>
          </w:tcPr>
          <w:p w14:paraId="04538272" w14:textId="77777777" w:rsidR="00FB3785" w:rsidRPr="00875A04" w:rsidRDefault="00FB3785" w:rsidP="00BA3EFC">
            <w:pPr>
              <w:jc w:val="center"/>
              <w:rPr>
                <w:b/>
                <w:sz w:val="24"/>
                <w:szCs w:val="24"/>
              </w:rPr>
            </w:pPr>
            <w:r w:rsidRPr="00875A04">
              <w:rPr>
                <w:b/>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2BFF422" w14:textId="77777777" w:rsidR="00FB3785" w:rsidRPr="00875A04" w:rsidRDefault="00FB3785" w:rsidP="00BA3EFC">
            <w:pPr>
              <w:jc w:val="center"/>
              <w:rPr>
                <w:b/>
                <w:sz w:val="24"/>
                <w:szCs w:val="24"/>
              </w:rPr>
            </w:pPr>
            <w:r w:rsidRPr="00875A04">
              <w:rPr>
                <w:b/>
                <w:sz w:val="24"/>
                <w:szCs w:val="24"/>
              </w:rPr>
              <w:t>2</w:t>
            </w:r>
          </w:p>
        </w:tc>
        <w:tc>
          <w:tcPr>
            <w:tcW w:w="284" w:type="dxa"/>
            <w:tcBorders>
              <w:top w:val="single" w:sz="4" w:space="0" w:color="auto"/>
              <w:left w:val="single" w:sz="4" w:space="0" w:color="auto"/>
              <w:bottom w:val="single" w:sz="4" w:space="0" w:color="auto"/>
              <w:right w:val="single" w:sz="4" w:space="0" w:color="auto"/>
            </w:tcBorders>
            <w:vAlign w:val="center"/>
          </w:tcPr>
          <w:p w14:paraId="69056FFA" w14:textId="77777777" w:rsidR="00FB3785" w:rsidRPr="00875A04" w:rsidRDefault="00FB3785" w:rsidP="00BA3EFC">
            <w:pPr>
              <w:jc w:val="center"/>
              <w:rPr>
                <w:b/>
                <w:sz w:val="24"/>
                <w:szCs w:val="24"/>
              </w:rPr>
            </w:pPr>
            <w:r w:rsidRPr="00875A04">
              <w:rPr>
                <w:b/>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10A5A96F" w14:textId="77777777" w:rsidR="00FB3785" w:rsidRPr="00875A04" w:rsidRDefault="00FB3785" w:rsidP="00BA3EFC">
            <w:pPr>
              <w:jc w:val="center"/>
              <w:rPr>
                <w:b/>
                <w:sz w:val="24"/>
                <w:szCs w:val="24"/>
              </w:rPr>
            </w:pPr>
            <w:r w:rsidRPr="00875A04">
              <w:rPr>
                <w:b/>
                <w:sz w:val="24"/>
                <w:szCs w:val="24"/>
              </w:rPr>
              <w:t>0</w:t>
            </w:r>
          </w:p>
        </w:tc>
        <w:tc>
          <w:tcPr>
            <w:tcW w:w="284" w:type="dxa"/>
            <w:tcBorders>
              <w:top w:val="single" w:sz="4" w:space="0" w:color="auto"/>
              <w:left w:val="single" w:sz="4" w:space="0" w:color="auto"/>
              <w:bottom w:val="single" w:sz="4" w:space="0" w:color="auto"/>
              <w:right w:val="single" w:sz="4" w:space="0" w:color="auto"/>
            </w:tcBorders>
            <w:vAlign w:val="center"/>
          </w:tcPr>
          <w:p w14:paraId="3E61B21C" w14:textId="77777777" w:rsidR="00FB3785" w:rsidRPr="00875A04" w:rsidRDefault="00FB3785" w:rsidP="00BA3EFC">
            <w:pPr>
              <w:jc w:val="center"/>
              <w:rPr>
                <w:b/>
                <w:sz w:val="24"/>
                <w:szCs w:val="24"/>
              </w:rPr>
            </w:pPr>
            <w:r w:rsidRPr="00875A04">
              <w:rPr>
                <w:b/>
                <w:sz w:val="24"/>
                <w:szCs w:val="24"/>
              </w:rPr>
              <w:t>2</w:t>
            </w:r>
          </w:p>
        </w:tc>
        <w:tc>
          <w:tcPr>
            <w:tcW w:w="283" w:type="dxa"/>
            <w:tcBorders>
              <w:top w:val="single" w:sz="4" w:space="0" w:color="auto"/>
              <w:left w:val="single" w:sz="4" w:space="0" w:color="auto"/>
              <w:bottom w:val="single" w:sz="4" w:space="0" w:color="auto"/>
              <w:right w:val="single" w:sz="4" w:space="0" w:color="auto"/>
            </w:tcBorders>
            <w:vAlign w:val="center"/>
          </w:tcPr>
          <w:p w14:paraId="44FAAB25" w14:textId="77777777" w:rsidR="00FB3785" w:rsidRPr="00875A04" w:rsidRDefault="00FB3785" w:rsidP="00BA3EFC">
            <w:pPr>
              <w:jc w:val="center"/>
              <w:rPr>
                <w:b/>
                <w:sz w:val="24"/>
                <w:szCs w:val="24"/>
              </w:rPr>
            </w:pPr>
            <w:r w:rsidRPr="00875A04">
              <w:rPr>
                <w:b/>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5F849583" w14:textId="77777777" w:rsidR="00FB3785" w:rsidRPr="00875A04" w:rsidRDefault="00FB3785" w:rsidP="00BA3EFC">
            <w:pPr>
              <w:jc w:val="center"/>
              <w:rPr>
                <w:b/>
                <w:sz w:val="24"/>
                <w:szCs w:val="24"/>
              </w:rPr>
            </w:pPr>
            <w:r w:rsidRPr="00875A04">
              <w:rPr>
                <w:b/>
                <w:sz w:val="24"/>
                <w:szCs w:val="24"/>
              </w:rPr>
              <w:t>3</w:t>
            </w:r>
          </w:p>
        </w:tc>
        <w:tc>
          <w:tcPr>
            <w:tcW w:w="283" w:type="dxa"/>
            <w:tcBorders>
              <w:top w:val="single" w:sz="4" w:space="0" w:color="auto"/>
              <w:left w:val="single" w:sz="4" w:space="0" w:color="auto"/>
              <w:bottom w:val="single" w:sz="4" w:space="0" w:color="auto"/>
              <w:right w:val="single" w:sz="4" w:space="0" w:color="auto"/>
            </w:tcBorders>
            <w:vAlign w:val="center"/>
          </w:tcPr>
          <w:p w14:paraId="7C68B214" w14:textId="77777777" w:rsidR="00FB3785" w:rsidRPr="00875A04" w:rsidRDefault="00FB3785" w:rsidP="00BA3EFC">
            <w:pPr>
              <w:jc w:val="center"/>
              <w:rPr>
                <w:b/>
                <w:sz w:val="24"/>
                <w:szCs w:val="24"/>
              </w:rPr>
            </w:pPr>
            <w:r w:rsidRPr="00875A04">
              <w:rPr>
                <w:b/>
                <w:sz w:val="24"/>
                <w:szCs w:val="24"/>
              </w:rPr>
              <w:t>6</w:t>
            </w:r>
          </w:p>
        </w:tc>
        <w:tc>
          <w:tcPr>
            <w:tcW w:w="284" w:type="dxa"/>
            <w:tcBorders>
              <w:top w:val="single" w:sz="4" w:space="0" w:color="auto"/>
              <w:left w:val="single" w:sz="4" w:space="0" w:color="auto"/>
              <w:bottom w:val="single" w:sz="4" w:space="0" w:color="auto"/>
              <w:right w:val="single" w:sz="4" w:space="0" w:color="auto"/>
            </w:tcBorders>
            <w:vAlign w:val="center"/>
          </w:tcPr>
          <w:p w14:paraId="5784B442" w14:textId="77777777" w:rsidR="00FB3785" w:rsidRPr="00875A04" w:rsidRDefault="00FB3785" w:rsidP="00BA3EFC">
            <w:pPr>
              <w:jc w:val="center"/>
              <w:rPr>
                <w:b/>
                <w:sz w:val="24"/>
                <w:szCs w:val="24"/>
              </w:rPr>
            </w:pPr>
            <w:r w:rsidRPr="00875A04">
              <w:rPr>
                <w:b/>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19041FB8" w14:textId="77777777" w:rsidR="00FB3785" w:rsidRPr="00875A04" w:rsidRDefault="00FB3785" w:rsidP="00BA3EFC">
            <w:pPr>
              <w:jc w:val="center"/>
              <w:rPr>
                <w:b/>
                <w:sz w:val="24"/>
                <w:szCs w:val="24"/>
              </w:rPr>
            </w:pPr>
            <w:r w:rsidRPr="00875A04">
              <w:rPr>
                <w:b/>
                <w:sz w:val="24"/>
                <w:szCs w:val="24"/>
              </w:rPr>
              <w:t>8</w:t>
            </w:r>
          </w:p>
        </w:tc>
        <w:tc>
          <w:tcPr>
            <w:tcW w:w="284" w:type="dxa"/>
            <w:tcBorders>
              <w:top w:val="single" w:sz="4" w:space="0" w:color="auto"/>
              <w:left w:val="single" w:sz="4" w:space="0" w:color="auto"/>
              <w:bottom w:val="single" w:sz="4" w:space="0" w:color="auto"/>
              <w:right w:val="single" w:sz="4" w:space="0" w:color="auto"/>
            </w:tcBorders>
            <w:vAlign w:val="center"/>
          </w:tcPr>
          <w:p w14:paraId="4E41A438" w14:textId="77777777" w:rsidR="00FB3785" w:rsidRPr="00875A04" w:rsidRDefault="00FB3785" w:rsidP="00BA3EFC">
            <w:pPr>
              <w:jc w:val="center"/>
              <w:rPr>
                <w:b/>
                <w:sz w:val="24"/>
                <w:szCs w:val="24"/>
              </w:rPr>
            </w:pPr>
            <w:r w:rsidRPr="00875A04">
              <w:rPr>
                <w:b/>
                <w:sz w:val="24"/>
                <w:szCs w:val="24"/>
              </w:rPr>
              <w:t>5</w:t>
            </w:r>
          </w:p>
        </w:tc>
        <w:tc>
          <w:tcPr>
            <w:tcW w:w="284" w:type="dxa"/>
            <w:tcBorders>
              <w:top w:val="single" w:sz="4" w:space="0" w:color="auto"/>
              <w:left w:val="single" w:sz="4" w:space="0" w:color="auto"/>
              <w:bottom w:val="single" w:sz="4" w:space="0" w:color="auto"/>
              <w:right w:val="single" w:sz="4" w:space="0" w:color="auto"/>
            </w:tcBorders>
            <w:vAlign w:val="center"/>
          </w:tcPr>
          <w:p w14:paraId="4745D208" w14:textId="77777777" w:rsidR="00FB3785" w:rsidRPr="00875A04" w:rsidRDefault="00FB3785" w:rsidP="00BA3EFC">
            <w:pPr>
              <w:jc w:val="center"/>
              <w:rPr>
                <w:b/>
                <w:sz w:val="24"/>
                <w:szCs w:val="24"/>
              </w:rPr>
            </w:pPr>
            <w:r w:rsidRPr="00875A04">
              <w:rPr>
                <w:b/>
                <w:sz w:val="24"/>
                <w:szCs w:val="24"/>
              </w:rPr>
              <w:t>-</w:t>
            </w:r>
          </w:p>
        </w:tc>
        <w:tc>
          <w:tcPr>
            <w:tcW w:w="284" w:type="dxa"/>
            <w:tcBorders>
              <w:top w:val="single" w:sz="4" w:space="0" w:color="auto"/>
              <w:left w:val="single" w:sz="4" w:space="0" w:color="auto"/>
              <w:bottom w:val="single" w:sz="4" w:space="0" w:color="auto"/>
              <w:right w:val="single" w:sz="4" w:space="0" w:color="auto"/>
            </w:tcBorders>
            <w:vAlign w:val="center"/>
          </w:tcPr>
          <w:p w14:paraId="5C976701" w14:textId="77777777" w:rsidR="00FB3785" w:rsidRPr="00875A04" w:rsidRDefault="00FB3785" w:rsidP="00BA3EFC">
            <w:pPr>
              <w:jc w:val="center"/>
              <w:rPr>
                <w:b/>
                <w:sz w:val="24"/>
                <w:szCs w:val="24"/>
              </w:rPr>
            </w:pPr>
            <w:r w:rsidRPr="00875A04">
              <w:rPr>
                <w:b/>
                <w:sz w:val="24"/>
                <w:szCs w:val="24"/>
              </w:rPr>
              <w:t>R</w:t>
            </w:r>
          </w:p>
        </w:tc>
        <w:tc>
          <w:tcPr>
            <w:tcW w:w="284" w:type="dxa"/>
            <w:tcBorders>
              <w:top w:val="single" w:sz="4" w:space="0" w:color="auto"/>
              <w:left w:val="single" w:sz="4" w:space="0" w:color="auto"/>
              <w:bottom w:val="single" w:sz="4" w:space="0" w:color="auto"/>
              <w:right w:val="single" w:sz="4" w:space="0" w:color="auto"/>
            </w:tcBorders>
            <w:vAlign w:val="center"/>
          </w:tcPr>
          <w:p w14:paraId="375772FF" w14:textId="77777777" w:rsidR="00FB3785" w:rsidRPr="00875A04" w:rsidRDefault="00FB3785" w:rsidP="00BA3EFC">
            <w:pPr>
              <w:jc w:val="center"/>
              <w:rPr>
                <w:b/>
                <w:sz w:val="24"/>
                <w:szCs w:val="24"/>
              </w:rPr>
            </w:pPr>
            <w:r w:rsidRPr="00875A04">
              <w:rPr>
                <w:b/>
                <w:sz w:val="24"/>
                <w:szCs w:val="24"/>
              </w:rPr>
              <w:t>-</w:t>
            </w:r>
          </w:p>
        </w:tc>
        <w:tc>
          <w:tcPr>
            <w:tcW w:w="284" w:type="dxa"/>
            <w:tcBorders>
              <w:top w:val="single" w:sz="4" w:space="0" w:color="auto"/>
              <w:left w:val="single" w:sz="4" w:space="0" w:color="auto"/>
              <w:bottom w:val="single" w:sz="4" w:space="0" w:color="auto"/>
              <w:right w:val="single" w:sz="4" w:space="0" w:color="auto"/>
            </w:tcBorders>
            <w:vAlign w:val="center"/>
          </w:tcPr>
          <w:p w14:paraId="30E36E1D" w14:textId="77777777" w:rsidR="00FB3785" w:rsidRPr="00875A04" w:rsidRDefault="00FB3785" w:rsidP="00BA3EFC">
            <w:pPr>
              <w:jc w:val="center"/>
              <w:rPr>
                <w:b/>
                <w:sz w:val="24"/>
                <w:szCs w:val="24"/>
              </w:rPr>
            </w:pPr>
            <w:r w:rsidRPr="00875A04">
              <w:rPr>
                <w:b/>
                <w:sz w:val="24"/>
                <w:szCs w:val="24"/>
              </w:rPr>
              <w:t>0</w:t>
            </w:r>
          </w:p>
        </w:tc>
        <w:tc>
          <w:tcPr>
            <w:tcW w:w="284" w:type="dxa"/>
            <w:tcBorders>
              <w:top w:val="single" w:sz="4" w:space="0" w:color="auto"/>
              <w:left w:val="single" w:sz="4" w:space="0" w:color="auto"/>
              <w:bottom w:val="single" w:sz="4" w:space="0" w:color="auto"/>
              <w:right w:val="single" w:sz="4" w:space="0" w:color="auto"/>
            </w:tcBorders>
            <w:vAlign w:val="center"/>
          </w:tcPr>
          <w:p w14:paraId="20042155" w14:textId="77777777" w:rsidR="00FB3785" w:rsidRPr="00875A04" w:rsidRDefault="00FB3785" w:rsidP="00BA3EFC">
            <w:pPr>
              <w:jc w:val="center"/>
              <w:rPr>
                <w:b/>
                <w:sz w:val="24"/>
                <w:szCs w:val="24"/>
              </w:rPr>
            </w:pPr>
            <w:r w:rsidRPr="00875A04">
              <w:rPr>
                <w:b/>
                <w:sz w:val="24"/>
                <w:szCs w:val="24"/>
              </w:rPr>
              <w:t>0</w:t>
            </w:r>
          </w:p>
        </w:tc>
        <w:tc>
          <w:tcPr>
            <w:tcW w:w="284" w:type="dxa"/>
            <w:tcBorders>
              <w:top w:val="single" w:sz="4" w:space="0" w:color="auto"/>
              <w:left w:val="single" w:sz="4" w:space="0" w:color="auto"/>
              <w:bottom w:val="single" w:sz="4" w:space="0" w:color="auto"/>
              <w:right w:val="single" w:sz="4" w:space="0" w:color="auto"/>
            </w:tcBorders>
            <w:vAlign w:val="center"/>
          </w:tcPr>
          <w:p w14:paraId="597F88B4" w14:textId="77777777" w:rsidR="00FB3785" w:rsidRPr="00875A04" w:rsidRDefault="00FB3785" w:rsidP="00BA3EFC">
            <w:pPr>
              <w:jc w:val="center"/>
              <w:rPr>
                <w:b/>
                <w:sz w:val="24"/>
                <w:szCs w:val="24"/>
              </w:rPr>
            </w:pPr>
            <w:r w:rsidRPr="00875A04">
              <w:rPr>
                <w:b/>
                <w:sz w:val="24"/>
                <w:szCs w:val="24"/>
              </w:rPr>
              <w:t>1</w:t>
            </w:r>
          </w:p>
        </w:tc>
        <w:tc>
          <w:tcPr>
            <w:tcW w:w="284" w:type="dxa"/>
            <w:tcBorders>
              <w:top w:val="single" w:sz="4" w:space="0" w:color="auto"/>
              <w:left w:val="single" w:sz="4" w:space="0" w:color="auto"/>
              <w:bottom w:val="single" w:sz="4" w:space="0" w:color="auto"/>
              <w:right w:val="single" w:sz="4" w:space="0" w:color="auto"/>
            </w:tcBorders>
            <w:vAlign w:val="center"/>
          </w:tcPr>
          <w:p w14:paraId="0CAC3E88" w14:textId="77777777" w:rsidR="00FB3785" w:rsidRPr="00875A04" w:rsidRDefault="00FB3785" w:rsidP="00BA3EFC">
            <w:pPr>
              <w:jc w:val="center"/>
              <w:rPr>
                <w:b/>
                <w:sz w:val="24"/>
                <w:szCs w:val="24"/>
              </w:rPr>
            </w:pPr>
            <w:r w:rsidRPr="00875A04">
              <w:rPr>
                <w:b/>
                <w:sz w:val="24"/>
                <w:szCs w:val="24"/>
              </w:rPr>
              <w:t>P</w:t>
            </w:r>
          </w:p>
        </w:tc>
      </w:tr>
    </w:tbl>
    <w:p w14:paraId="3CE8D063" w14:textId="77777777" w:rsidR="0009720A" w:rsidRPr="00875A04" w:rsidRDefault="0009720A" w:rsidP="0009720A">
      <w:pPr>
        <w:rPr>
          <w:szCs w:val="22"/>
        </w:rPr>
      </w:pPr>
    </w:p>
    <w:p w14:paraId="4A8F44AD" w14:textId="77777777" w:rsidR="0009720A" w:rsidRPr="00875A04" w:rsidRDefault="0009720A" w:rsidP="0009720A">
      <w:pPr>
        <w:jc w:val="both"/>
        <w:rPr>
          <w:sz w:val="24"/>
          <w:szCs w:val="24"/>
        </w:rPr>
      </w:pPr>
      <w:r w:rsidRPr="00875A04">
        <w:rPr>
          <w:sz w:val="24"/>
          <w:szCs w:val="24"/>
        </w:rPr>
        <w:t>дата присвоения идентификационного номера</w:t>
      </w:r>
      <w:r w:rsidR="00FB3785" w:rsidRPr="00875A04">
        <w:rPr>
          <w:sz w:val="24"/>
          <w:szCs w:val="24"/>
        </w:rPr>
        <w:t xml:space="preserve"> выпуска ценных бумаг:</w:t>
      </w:r>
    </w:p>
    <w:p w14:paraId="754A6B19" w14:textId="77777777" w:rsidR="00FB3785" w:rsidRPr="00875A04" w:rsidRDefault="00FB3785" w:rsidP="0009720A">
      <w:pPr>
        <w:jc w:val="both"/>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09720A" w:rsidRPr="00875A04" w14:paraId="470CAD54" w14:textId="77777777" w:rsidTr="00BA3EFC">
        <w:tc>
          <w:tcPr>
            <w:tcW w:w="170" w:type="dxa"/>
            <w:tcBorders>
              <w:top w:val="nil"/>
              <w:left w:val="nil"/>
              <w:bottom w:val="nil"/>
              <w:right w:val="nil"/>
            </w:tcBorders>
            <w:vAlign w:val="bottom"/>
          </w:tcPr>
          <w:p w14:paraId="42FB9E82" w14:textId="77777777" w:rsidR="0009720A" w:rsidRPr="00875A04" w:rsidRDefault="0009720A" w:rsidP="0009720A">
            <w:pPr>
              <w:rPr>
                <w:b/>
                <w:sz w:val="24"/>
                <w:szCs w:val="24"/>
              </w:rPr>
            </w:pPr>
            <w:r w:rsidRPr="00875A04">
              <w:rPr>
                <w:b/>
                <w:sz w:val="24"/>
                <w:szCs w:val="24"/>
              </w:rPr>
              <w:t>«</w:t>
            </w:r>
          </w:p>
        </w:tc>
        <w:tc>
          <w:tcPr>
            <w:tcW w:w="482" w:type="dxa"/>
            <w:tcBorders>
              <w:top w:val="nil"/>
              <w:left w:val="nil"/>
              <w:bottom w:val="single" w:sz="4" w:space="0" w:color="auto"/>
              <w:right w:val="nil"/>
            </w:tcBorders>
            <w:vAlign w:val="bottom"/>
          </w:tcPr>
          <w:p w14:paraId="49FCC7F4" w14:textId="77777777" w:rsidR="0009720A" w:rsidRPr="00875A04" w:rsidRDefault="00FB3785" w:rsidP="0009720A">
            <w:pPr>
              <w:jc w:val="center"/>
              <w:rPr>
                <w:b/>
                <w:sz w:val="24"/>
                <w:szCs w:val="24"/>
              </w:rPr>
            </w:pPr>
            <w:r w:rsidRPr="00875A04">
              <w:rPr>
                <w:b/>
                <w:sz w:val="24"/>
                <w:szCs w:val="24"/>
              </w:rPr>
              <w:t>29</w:t>
            </w:r>
          </w:p>
        </w:tc>
        <w:tc>
          <w:tcPr>
            <w:tcW w:w="284" w:type="dxa"/>
            <w:tcBorders>
              <w:top w:val="nil"/>
              <w:left w:val="nil"/>
              <w:bottom w:val="nil"/>
              <w:right w:val="nil"/>
            </w:tcBorders>
            <w:vAlign w:val="bottom"/>
          </w:tcPr>
          <w:p w14:paraId="018FB69C" w14:textId="77777777" w:rsidR="0009720A" w:rsidRPr="00875A04" w:rsidRDefault="0009720A" w:rsidP="00BA3EFC">
            <w:pPr>
              <w:rPr>
                <w:b/>
                <w:sz w:val="24"/>
                <w:szCs w:val="24"/>
              </w:rPr>
            </w:pPr>
            <w:r w:rsidRPr="00875A04">
              <w:rPr>
                <w:b/>
                <w:sz w:val="24"/>
                <w:szCs w:val="24"/>
              </w:rPr>
              <w:t>»</w:t>
            </w:r>
          </w:p>
        </w:tc>
        <w:tc>
          <w:tcPr>
            <w:tcW w:w="1559" w:type="dxa"/>
            <w:tcBorders>
              <w:top w:val="nil"/>
              <w:left w:val="nil"/>
              <w:bottom w:val="single" w:sz="4" w:space="0" w:color="auto"/>
              <w:right w:val="nil"/>
            </w:tcBorders>
            <w:vAlign w:val="bottom"/>
          </w:tcPr>
          <w:p w14:paraId="015D1F6B" w14:textId="77777777" w:rsidR="0009720A" w:rsidRPr="00875A04" w:rsidRDefault="00FB3785" w:rsidP="00BA3EFC">
            <w:pPr>
              <w:jc w:val="center"/>
              <w:rPr>
                <w:b/>
                <w:sz w:val="24"/>
                <w:szCs w:val="24"/>
              </w:rPr>
            </w:pPr>
            <w:r w:rsidRPr="00875A04">
              <w:rPr>
                <w:b/>
                <w:sz w:val="24"/>
                <w:szCs w:val="24"/>
              </w:rPr>
              <w:t>марта</w:t>
            </w:r>
          </w:p>
        </w:tc>
        <w:tc>
          <w:tcPr>
            <w:tcW w:w="425" w:type="dxa"/>
            <w:tcBorders>
              <w:top w:val="nil"/>
              <w:left w:val="nil"/>
              <w:bottom w:val="nil"/>
              <w:right w:val="nil"/>
            </w:tcBorders>
            <w:vAlign w:val="bottom"/>
          </w:tcPr>
          <w:p w14:paraId="6C8B0DCF" w14:textId="77777777" w:rsidR="0009720A" w:rsidRPr="00875A04" w:rsidRDefault="0009720A" w:rsidP="00BA3EFC">
            <w:pPr>
              <w:jc w:val="right"/>
              <w:rPr>
                <w:b/>
                <w:sz w:val="24"/>
                <w:szCs w:val="24"/>
              </w:rPr>
            </w:pPr>
            <w:r w:rsidRPr="00875A04">
              <w:rPr>
                <w:b/>
                <w:sz w:val="24"/>
                <w:szCs w:val="24"/>
              </w:rPr>
              <w:t>201</w:t>
            </w:r>
          </w:p>
        </w:tc>
        <w:tc>
          <w:tcPr>
            <w:tcW w:w="284" w:type="dxa"/>
            <w:tcBorders>
              <w:top w:val="nil"/>
              <w:left w:val="nil"/>
              <w:bottom w:val="single" w:sz="4" w:space="0" w:color="auto"/>
              <w:right w:val="nil"/>
            </w:tcBorders>
            <w:vAlign w:val="bottom"/>
          </w:tcPr>
          <w:p w14:paraId="2D9D9D8B" w14:textId="77777777" w:rsidR="0009720A" w:rsidRPr="00875A04" w:rsidRDefault="0009720A" w:rsidP="00BA3EFC">
            <w:pPr>
              <w:rPr>
                <w:b/>
                <w:sz w:val="24"/>
                <w:szCs w:val="24"/>
              </w:rPr>
            </w:pPr>
            <w:r w:rsidRPr="00875A04">
              <w:rPr>
                <w:b/>
                <w:sz w:val="24"/>
                <w:szCs w:val="24"/>
              </w:rPr>
              <w:t>8</w:t>
            </w:r>
          </w:p>
        </w:tc>
        <w:tc>
          <w:tcPr>
            <w:tcW w:w="368" w:type="dxa"/>
            <w:tcBorders>
              <w:top w:val="nil"/>
              <w:left w:val="nil"/>
              <w:bottom w:val="nil"/>
              <w:right w:val="nil"/>
            </w:tcBorders>
            <w:vAlign w:val="bottom"/>
          </w:tcPr>
          <w:p w14:paraId="12B1B8D6" w14:textId="77777777" w:rsidR="0009720A" w:rsidRPr="00875A04" w:rsidRDefault="0009720A" w:rsidP="00BA3EFC">
            <w:pPr>
              <w:rPr>
                <w:b/>
                <w:sz w:val="24"/>
              </w:rPr>
            </w:pPr>
            <w:r w:rsidRPr="00875A04">
              <w:rPr>
                <w:b/>
                <w:sz w:val="24"/>
              </w:rPr>
              <w:t>г.</w:t>
            </w:r>
          </w:p>
        </w:tc>
      </w:tr>
    </w:tbl>
    <w:p w14:paraId="4C624336" w14:textId="77777777" w:rsidR="0009720A" w:rsidRPr="00875A04" w:rsidRDefault="0009720A" w:rsidP="00E0556F">
      <w:pPr>
        <w:tabs>
          <w:tab w:val="right" w:pos="9923"/>
        </w:tabs>
        <w:jc w:val="both"/>
        <w:rPr>
          <w:sz w:val="22"/>
          <w:szCs w:val="22"/>
        </w:rPr>
      </w:pPr>
    </w:p>
    <w:p w14:paraId="70B94455" w14:textId="77777777" w:rsidR="00E0556F" w:rsidRPr="00875A04" w:rsidRDefault="0009720A" w:rsidP="00E0556F">
      <w:pPr>
        <w:tabs>
          <w:tab w:val="right" w:pos="9923"/>
        </w:tabs>
        <w:jc w:val="both"/>
        <w:rPr>
          <w:sz w:val="22"/>
          <w:szCs w:val="22"/>
        </w:rPr>
      </w:pPr>
      <w:r w:rsidRPr="00875A04">
        <w:rPr>
          <w:sz w:val="24"/>
          <w:szCs w:val="24"/>
        </w:rPr>
        <w:t xml:space="preserve">Изменения вносятся по решению </w:t>
      </w:r>
      <w:r w:rsidR="00A03FB4" w:rsidRPr="00875A04">
        <w:rPr>
          <w:sz w:val="22"/>
          <w:szCs w:val="22"/>
        </w:rPr>
        <w:t>Генерального директора</w:t>
      </w:r>
      <w:r w:rsidR="0011078C" w:rsidRPr="00875A04">
        <w:rPr>
          <w:sz w:val="22"/>
          <w:szCs w:val="22"/>
        </w:rPr>
        <w:t xml:space="preserve"> </w:t>
      </w:r>
      <w:r w:rsidR="00086AEC" w:rsidRPr="00875A04">
        <w:rPr>
          <w:sz w:val="22"/>
          <w:szCs w:val="22"/>
        </w:rPr>
        <w:t>ООО</w:t>
      </w:r>
      <w:r w:rsidR="00672777" w:rsidRPr="00875A04">
        <w:rPr>
          <w:sz w:val="22"/>
          <w:szCs w:val="22"/>
        </w:rPr>
        <w:t xml:space="preserve"> «</w:t>
      </w:r>
      <w:r w:rsidR="00086AEC" w:rsidRPr="00875A04">
        <w:rPr>
          <w:sz w:val="22"/>
          <w:szCs w:val="22"/>
        </w:rPr>
        <w:t>ДелоПортс</w:t>
      </w:r>
      <w:r w:rsidR="00672777" w:rsidRPr="00875A04">
        <w:rPr>
          <w:sz w:val="22"/>
          <w:szCs w:val="22"/>
        </w:rPr>
        <w:t>»</w:t>
      </w:r>
      <w:r w:rsidR="0011078C" w:rsidRPr="00875A04">
        <w:rPr>
          <w:sz w:val="22"/>
          <w:szCs w:val="22"/>
        </w:rPr>
        <w:t>,</w:t>
      </w:r>
    </w:p>
    <w:p w14:paraId="0E7F694B" w14:textId="77777777" w:rsidR="00E0556F" w:rsidRPr="00875A04" w:rsidRDefault="00E0556F" w:rsidP="00E0556F">
      <w:pPr>
        <w:tabs>
          <w:tab w:val="right" w:pos="9923"/>
        </w:tabs>
        <w:jc w:val="both"/>
        <w:rPr>
          <w:sz w:val="22"/>
          <w:szCs w:val="22"/>
        </w:rPr>
      </w:pPr>
    </w:p>
    <w:p w14:paraId="48F711D3" w14:textId="3A45A4BA" w:rsidR="00E0556F" w:rsidRPr="00875A04" w:rsidRDefault="0011078C" w:rsidP="00E0556F">
      <w:pPr>
        <w:tabs>
          <w:tab w:val="right" w:pos="9923"/>
        </w:tabs>
        <w:jc w:val="both"/>
        <w:rPr>
          <w:sz w:val="22"/>
          <w:szCs w:val="22"/>
        </w:rPr>
      </w:pPr>
      <w:r w:rsidRPr="00766769">
        <w:rPr>
          <w:sz w:val="22"/>
          <w:szCs w:val="22"/>
        </w:rPr>
        <w:t>принят</w:t>
      </w:r>
      <w:r w:rsidR="0009720A" w:rsidRPr="00766769">
        <w:rPr>
          <w:sz w:val="22"/>
          <w:szCs w:val="22"/>
        </w:rPr>
        <w:t>о</w:t>
      </w:r>
      <w:r w:rsidRPr="00766769">
        <w:rPr>
          <w:sz w:val="22"/>
          <w:szCs w:val="22"/>
        </w:rPr>
        <w:t>м</w:t>
      </w:r>
      <w:r w:rsidR="0009720A" w:rsidRPr="00766769">
        <w:rPr>
          <w:sz w:val="22"/>
          <w:szCs w:val="22"/>
        </w:rPr>
        <w:t>у</w:t>
      </w:r>
      <w:r w:rsidRPr="00766769">
        <w:rPr>
          <w:sz w:val="22"/>
          <w:szCs w:val="22"/>
        </w:rPr>
        <w:t xml:space="preserve"> </w:t>
      </w:r>
      <w:r w:rsidR="00E61763" w:rsidRPr="00766769">
        <w:rPr>
          <w:sz w:val="22"/>
          <w:szCs w:val="22"/>
        </w:rPr>
        <w:t>«</w:t>
      </w:r>
      <w:r w:rsidR="00766769" w:rsidRPr="00766769">
        <w:rPr>
          <w:sz w:val="22"/>
          <w:szCs w:val="22"/>
        </w:rPr>
        <w:t>17</w:t>
      </w:r>
      <w:r w:rsidRPr="00766769">
        <w:rPr>
          <w:sz w:val="22"/>
          <w:szCs w:val="22"/>
        </w:rPr>
        <w:t xml:space="preserve">» </w:t>
      </w:r>
      <w:r w:rsidR="00766769" w:rsidRPr="00766769">
        <w:rPr>
          <w:sz w:val="22"/>
          <w:szCs w:val="22"/>
        </w:rPr>
        <w:t xml:space="preserve">марта </w:t>
      </w:r>
      <w:r w:rsidR="00E61763" w:rsidRPr="00766769">
        <w:rPr>
          <w:sz w:val="22"/>
          <w:szCs w:val="22"/>
        </w:rPr>
        <w:t>20</w:t>
      </w:r>
      <w:r w:rsidR="00CA560B" w:rsidRPr="00766769">
        <w:rPr>
          <w:sz w:val="22"/>
          <w:szCs w:val="22"/>
        </w:rPr>
        <w:t>20</w:t>
      </w:r>
      <w:r w:rsidRPr="00766769">
        <w:rPr>
          <w:sz w:val="22"/>
          <w:szCs w:val="22"/>
        </w:rPr>
        <w:t xml:space="preserve"> г</w:t>
      </w:r>
      <w:r w:rsidR="00E61763" w:rsidRPr="00766769">
        <w:rPr>
          <w:sz w:val="22"/>
          <w:szCs w:val="22"/>
        </w:rPr>
        <w:t>., Приказ от «</w:t>
      </w:r>
      <w:r w:rsidR="00766769" w:rsidRPr="00766769">
        <w:rPr>
          <w:sz w:val="22"/>
          <w:szCs w:val="22"/>
        </w:rPr>
        <w:t>17</w:t>
      </w:r>
      <w:r w:rsidRPr="00766769">
        <w:rPr>
          <w:sz w:val="22"/>
          <w:szCs w:val="22"/>
        </w:rPr>
        <w:t>»</w:t>
      </w:r>
      <w:r w:rsidR="001E48C1" w:rsidRPr="00766769">
        <w:rPr>
          <w:sz w:val="22"/>
          <w:szCs w:val="22"/>
        </w:rPr>
        <w:t xml:space="preserve"> </w:t>
      </w:r>
      <w:r w:rsidR="00766769" w:rsidRPr="00766769">
        <w:rPr>
          <w:sz w:val="22"/>
          <w:szCs w:val="22"/>
        </w:rPr>
        <w:t xml:space="preserve">марта </w:t>
      </w:r>
      <w:r w:rsidRPr="00766769">
        <w:rPr>
          <w:sz w:val="22"/>
          <w:szCs w:val="22"/>
        </w:rPr>
        <w:t>20</w:t>
      </w:r>
      <w:r w:rsidR="00CA560B" w:rsidRPr="00766769">
        <w:rPr>
          <w:sz w:val="22"/>
          <w:szCs w:val="22"/>
        </w:rPr>
        <w:t>20</w:t>
      </w:r>
      <w:r w:rsidR="00D30108" w:rsidRPr="00766769">
        <w:rPr>
          <w:sz w:val="22"/>
          <w:szCs w:val="22"/>
        </w:rPr>
        <w:t xml:space="preserve"> </w:t>
      </w:r>
      <w:r w:rsidRPr="00766769">
        <w:rPr>
          <w:sz w:val="22"/>
          <w:szCs w:val="22"/>
        </w:rPr>
        <w:t>г</w:t>
      </w:r>
      <w:r w:rsidR="00D30108" w:rsidRPr="00766769">
        <w:rPr>
          <w:sz w:val="22"/>
          <w:szCs w:val="22"/>
        </w:rPr>
        <w:t>.</w:t>
      </w:r>
      <w:r w:rsidRPr="00766769">
        <w:rPr>
          <w:sz w:val="22"/>
          <w:szCs w:val="22"/>
        </w:rPr>
        <w:t xml:space="preserve"> № </w:t>
      </w:r>
      <w:r w:rsidR="00766769" w:rsidRPr="00766769">
        <w:rPr>
          <w:sz w:val="22"/>
          <w:szCs w:val="22"/>
        </w:rPr>
        <w:t>21</w:t>
      </w:r>
      <w:r w:rsidRPr="00766769">
        <w:rPr>
          <w:sz w:val="22"/>
          <w:szCs w:val="22"/>
        </w:rPr>
        <w:t>,</w:t>
      </w:r>
    </w:p>
    <w:p w14:paraId="4973B29B" w14:textId="77777777" w:rsidR="00E0556F" w:rsidRPr="00875A04" w:rsidRDefault="00E0556F" w:rsidP="00E0556F">
      <w:pPr>
        <w:tabs>
          <w:tab w:val="right" w:pos="9923"/>
        </w:tabs>
        <w:jc w:val="both"/>
        <w:rPr>
          <w:sz w:val="22"/>
          <w:szCs w:val="22"/>
        </w:rPr>
      </w:pPr>
    </w:p>
    <w:p w14:paraId="7697ADCF" w14:textId="77777777" w:rsidR="00E0556F" w:rsidRPr="00875A04" w:rsidRDefault="00E0556F" w:rsidP="00E0556F">
      <w:pPr>
        <w:tabs>
          <w:tab w:val="right" w:pos="9923"/>
        </w:tabs>
        <w:jc w:val="both"/>
        <w:rPr>
          <w:sz w:val="22"/>
          <w:szCs w:val="22"/>
        </w:rPr>
      </w:pPr>
    </w:p>
    <w:p w14:paraId="33F3E5AC" w14:textId="77777777" w:rsidR="00E0556F" w:rsidRPr="00875A04" w:rsidRDefault="00E0556F" w:rsidP="00E0556F">
      <w:pPr>
        <w:tabs>
          <w:tab w:val="right" w:pos="9923"/>
        </w:tabs>
        <w:jc w:val="both"/>
        <w:rPr>
          <w:sz w:val="22"/>
          <w:szCs w:val="22"/>
        </w:rPr>
      </w:pPr>
    </w:p>
    <w:p w14:paraId="2EBEBA8C" w14:textId="77777777" w:rsidR="00E0556F" w:rsidRPr="00875A04" w:rsidRDefault="00E0556F" w:rsidP="00E0556F">
      <w:pPr>
        <w:tabs>
          <w:tab w:val="right" w:pos="9923"/>
        </w:tabs>
        <w:jc w:val="both"/>
        <w:rPr>
          <w:sz w:val="22"/>
          <w:szCs w:val="22"/>
        </w:rPr>
      </w:pPr>
    </w:p>
    <w:p w14:paraId="66075623" w14:textId="77777777" w:rsidR="005F232E" w:rsidRPr="00875A04" w:rsidRDefault="005F232E">
      <w:pPr>
        <w:autoSpaceDE/>
        <w:autoSpaceDN/>
        <w:rPr>
          <w:sz w:val="22"/>
          <w:szCs w:val="22"/>
        </w:rPr>
      </w:pPr>
    </w:p>
    <w:p w14:paraId="42806F48" w14:textId="77777777" w:rsidR="005F232E" w:rsidRPr="00875A04" w:rsidRDefault="00672777" w:rsidP="00086AEC">
      <w:pPr>
        <w:spacing w:before="120" w:after="120"/>
        <w:jc w:val="both"/>
        <w:rPr>
          <w:sz w:val="22"/>
          <w:szCs w:val="22"/>
        </w:rPr>
      </w:pPr>
      <w:r w:rsidRPr="00875A04">
        <w:rPr>
          <w:sz w:val="22"/>
          <w:szCs w:val="22"/>
        </w:rPr>
        <w:t xml:space="preserve">Место нахождения </w:t>
      </w:r>
      <w:r w:rsidR="00086AEC" w:rsidRPr="00875A04">
        <w:rPr>
          <w:sz w:val="22"/>
          <w:szCs w:val="22"/>
        </w:rPr>
        <w:t>эмитента и контактные телефоны:</w:t>
      </w:r>
      <w:r w:rsidR="00086AEC" w:rsidRPr="00875A04">
        <w:rPr>
          <w:sz w:val="22"/>
          <w:szCs w:val="22"/>
        </w:rPr>
        <w:br/>
        <w:t>Российская Федерация, Краснодарский край, город Новороссийск</w:t>
      </w:r>
      <w:r w:rsidR="00086AEC" w:rsidRPr="00875A04">
        <w:rPr>
          <w:sz w:val="22"/>
          <w:szCs w:val="22"/>
        </w:rPr>
        <w:br/>
        <w:t>Телефон: +7 (8617) 30 08 21</w:t>
      </w:r>
    </w:p>
    <w:p w14:paraId="5439EC94" w14:textId="77777777" w:rsidR="005F232E" w:rsidRPr="00875A04" w:rsidRDefault="005F232E">
      <w:pPr>
        <w:autoSpaceDE/>
        <w:autoSpaceDN/>
        <w:rPr>
          <w:sz w:val="22"/>
          <w:szCs w:val="22"/>
        </w:rPr>
      </w:pPr>
    </w:p>
    <w:p w14:paraId="4D35D849" w14:textId="77777777" w:rsidR="00086AEC" w:rsidRPr="00875A04" w:rsidRDefault="00086AEC" w:rsidP="00086AEC">
      <w:pPr>
        <w:spacing w:before="120" w:after="120"/>
        <w:jc w:val="both"/>
        <w:rPr>
          <w:sz w:val="22"/>
          <w:szCs w:val="22"/>
        </w:rPr>
      </w:pPr>
    </w:p>
    <w:p w14:paraId="25B73F4A" w14:textId="77777777" w:rsidR="0009720A" w:rsidRPr="00875A04" w:rsidRDefault="0009720A" w:rsidP="00086AEC">
      <w:pPr>
        <w:spacing w:before="120" w:after="120"/>
        <w:jc w:val="both"/>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875A04" w14:paraId="084698DC" w14:textId="77777777" w:rsidTr="004E513E">
        <w:tc>
          <w:tcPr>
            <w:tcW w:w="5103" w:type="dxa"/>
            <w:tcBorders>
              <w:top w:val="nil"/>
              <w:left w:val="nil"/>
              <w:bottom w:val="single" w:sz="4" w:space="0" w:color="auto"/>
              <w:right w:val="nil"/>
            </w:tcBorders>
            <w:vAlign w:val="bottom"/>
          </w:tcPr>
          <w:p w14:paraId="0203BA66" w14:textId="77777777" w:rsidR="00F84BCE" w:rsidRPr="00875A04" w:rsidRDefault="00F84BCE" w:rsidP="00E16684">
            <w:pPr>
              <w:autoSpaceDE/>
              <w:autoSpaceDN/>
              <w:jc w:val="center"/>
              <w:rPr>
                <w:sz w:val="22"/>
                <w:szCs w:val="22"/>
                <w:lang w:eastAsia="en-US"/>
              </w:rPr>
            </w:pPr>
          </w:p>
          <w:p w14:paraId="64129D97" w14:textId="77777777" w:rsidR="00F84BCE" w:rsidRPr="00875A04" w:rsidRDefault="00F84BCE" w:rsidP="00E16684">
            <w:pPr>
              <w:autoSpaceDE/>
              <w:autoSpaceDN/>
              <w:jc w:val="center"/>
              <w:rPr>
                <w:sz w:val="22"/>
                <w:szCs w:val="22"/>
                <w:lang w:eastAsia="en-US"/>
              </w:rPr>
            </w:pPr>
          </w:p>
          <w:p w14:paraId="39348F16" w14:textId="77777777" w:rsidR="004E513E" w:rsidRPr="00875A04" w:rsidRDefault="00E16684" w:rsidP="00342CC2">
            <w:pPr>
              <w:autoSpaceDE/>
              <w:autoSpaceDN/>
              <w:rPr>
                <w:sz w:val="22"/>
                <w:szCs w:val="22"/>
                <w:lang w:eastAsia="en-US"/>
              </w:rPr>
            </w:pPr>
            <w:r w:rsidRPr="00875A04">
              <w:rPr>
                <w:sz w:val="22"/>
                <w:szCs w:val="22"/>
                <w:lang w:eastAsia="en-US"/>
              </w:rPr>
              <w:t xml:space="preserve">Генеральный директор </w:t>
            </w:r>
          </w:p>
        </w:tc>
        <w:tc>
          <w:tcPr>
            <w:tcW w:w="283" w:type="dxa"/>
            <w:tcBorders>
              <w:top w:val="nil"/>
              <w:left w:val="nil"/>
              <w:bottom w:val="nil"/>
              <w:right w:val="nil"/>
            </w:tcBorders>
            <w:vAlign w:val="bottom"/>
          </w:tcPr>
          <w:p w14:paraId="306218AF" w14:textId="77777777" w:rsidR="004E513E" w:rsidRPr="00875A04"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3E59B54F" w14:textId="77777777" w:rsidR="004E513E" w:rsidRPr="00875A04"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28D7955" w14:textId="77777777" w:rsidR="004E513E" w:rsidRPr="00875A04"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58747F5B" w14:textId="77777777" w:rsidR="004E513E" w:rsidRPr="00875A04" w:rsidRDefault="00086AEC" w:rsidP="004E513E">
            <w:pPr>
              <w:autoSpaceDE/>
              <w:autoSpaceDN/>
              <w:jc w:val="center"/>
              <w:rPr>
                <w:bCs/>
                <w:iCs/>
                <w:sz w:val="22"/>
                <w:szCs w:val="22"/>
                <w:lang w:eastAsia="en-US"/>
              </w:rPr>
            </w:pPr>
            <w:r w:rsidRPr="00875A04">
              <w:rPr>
                <w:bCs/>
                <w:iCs/>
                <w:sz w:val="22"/>
                <w:szCs w:val="22"/>
                <w:lang w:eastAsia="en-US"/>
              </w:rPr>
              <w:t>И.А. Яковенко</w:t>
            </w:r>
          </w:p>
        </w:tc>
      </w:tr>
    </w:tbl>
    <w:p w14:paraId="1762D863" w14:textId="77777777" w:rsidR="004E513E" w:rsidRPr="00875A04" w:rsidRDefault="004E513E" w:rsidP="004E513E">
      <w:pPr>
        <w:autoSpaceDE/>
        <w:autoSpaceDN/>
        <w:rPr>
          <w:sz w:val="22"/>
          <w:szCs w:val="22"/>
          <w:lang w:eastAsia="en-US"/>
        </w:rPr>
      </w:pPr>
    </w:p>
    <w:p w14:paraId="461404BD" w14:textId="77777777" w:rsidR="00342CC2" w:rsidRPr="00875A04" w:rsidRDefault="00342CC2"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875A04" w14:paraId="41178398" w14:textId="77777777" w:rsidTr="004E513E">
        <w:tc>
          <w:tcPr>
            <w:tcW w:w="680" w:type="dxa"/>
            <w:tcBorders>
              <w:top w:val="nil"/>
              <w:left w:val="nil"/>
              <w:bottom w:val="nil"/>
              <w:right w:val="nil"/>
            </w:tcBorders>
            <w:vAlign w:val="bottom"/>
          </w:tcPr>
          <w:p w14:paraId="09069809" w14:textId="77777777" w:rsidR="004E513E" w:rsidRPr="00875A04" w:rsidRDefault="004E513E" w:rsidP="004E513E">
            <w:pPr>
              <w:autoSpaceDE/>
              <w:autoSpaceDN/>
              <w:rPr>
                <w:sz w:val="22"/>
                <w:szCs w:val="22"/>
                <w:lang w:eastAsia="en-US"/>
              </w:rPr>
            </w:pPr>
            <w:r w:rsidRPr="00875A04">
              <w:rPr>
                <w:sz w:val="22"/>
                <w:szCs w:val="22"/>
                <w:lang w:eastAsia="en-US"/>
              </w:rPr>
              <w:t>Дата «</w:t>
            </w:r>
          </w:p>
        </w:tc>
        <w:tc>
          <w:tcPr>
            <w:tcW w:w="482" w:type="dxa"/>
            <w:tcBorders>
              <w:top w:val="nil"/>
              <w:left w:val="nil"/>
              <w:bottom w:val="single" w:sz="4" w:space="0" w:color="auto"/>
              <w:right w:val="nil"/>
            </w:tcBorders>
            <w:vAlign w:val="bottom"/>
          </w:tcPr>
          <w:p w14:paraId="5D034EC9" w14:textId="4388627F" w:rsidR="004E513E" w:rsidRPr="008C1348" w:rsidRDefault="008C1348" w:rsidP="004233B0">
            <w:pPr>
              <w:autoSpaceDE/>
              <w:autoSpaceDN/>
              <w:jc w:val="center"/>
              <w:rPr>
                <w:sz w:val="22"/>
                <w:szCs w:val="22"/>
                <w:lang w:eastAsia="en-US"/>
              </w:rPr>
            </w:pPr>
            <w:r>
              <w:rPr>
                <w:sz w:val="22"/>
                <w:szCs w:val="22"/>
                <w:lang w:eastAsia="en-US"/>
              </w:rPr>
              <w:t>07</w:t>
            </w:r>
          </w:p>
        </w:tc>
        <w:tc>
          <w:tcPr>
            <w:tcW w:w="284" w:type="dxa"/>
            <w:tcBorders>
              <w:top w:val="nil"/>
              <w:left w:val="nil"/>
              <w:bottom w:val="nil"/>
              <w:right w:val="nil"/>
            </w:tcBorders>
            <w:vAlign w:val="bottom"/>
          </w:tcPr>
          <w:p w14:paraId="62F253BA" w14:textId="77777777" w:rsidR="004E513E" w:rsidRPr="00875A04" w:rsidRDefault="004E513E" w:rsidP="004E513E">
            <w:pPr>
              <w:autoSpaceDE/>
              <w:autoSpaceDN/>
              <w:rPr>
                <w:sz w:val="22"/>
                <w:szCs w:val="22"/>
                <w:lang w:eastAsia="en-US"/>
              </w:rPr>
            </w:pPr>
            <w:r w:rsidRPr="00875A04">
              <w:rPr>
                <w:sz w:val="22"/>
                <w:szCs w:val="22"/>
                <w:lang w:eastAsia="en-US"/>
              </w:rPr>
              <w:t>»</w:t>
            </w:r>
          </w:p>
        </w:tc>
        <w:tc>
          <w:tcPr>
            <w:tcW w:w="1559" w:type="dxa"/>
            <w:tcBorders>
              <w:top w:val="nil"/>
              <w:left w:val="nil"/>
              <w:bottom w:val="single" w:sz="4" w:space="0" w:color="auto"/>
              <w:right w:val="nil"/>
            </w:tcBorders>
            <w:vAlign w:val="bottom"/>
          </w:tcPr>
          <w:p w14:paraId="0582F731" w14:textId="6237742E" w:rsidR="004E513E" w:rsidRPr="00875A04" w:rsidRDefault="008C1348" w:rsidP="004E513E">
            <w:pPr>
              <w:autoSpaceDE/>
              <w:autoSpaceDN/>
              <w:jc w:val="center"/>
              <w:rPr>
                <w:sz w:val="22"/>
                <w:szCs w:val="22"/>
                <w:lang w:eastAsia="en-US"/>
              </w:rPr>
            </w:pPr>
            <w:r>
              <w:rPr>
                <w:sz w:val="22"/>
                <w:szCs w:val="22"/>
                <w:lang w:eastAsia="en-US"/>
              </w:rPr>
              <w:t>апреля</w:t>
            </w:r>
          </w:p>
        </w:tc>
        <w:tc>
          <w:tcPr>
            <w:tcW w:w="425" w:type="dxa"/>
            <w:tcBorders>
              <w:top w:val="nil"/>
              <w:left w:val="nil"/>
              <w:bottom w:val="nil"/>
              <w:right w:val="nil"/>
            </w:tcBorders>
            <w:vAlign w:val="bottom"/>
          </w:tcPr>
          <w:p w14:paraId="0C51C681" w14:textId="77777777" w:rsidR="004E513E" w:rsidRPr="00766769" w:rsidRDefault="004E513E" w:rsidP="00CA560B">
            <w:pPr>
              <w:autoSpaceDE/>
              <w:autoSpaceDN/>
              <w:jc w:val="right"/>
              <w:rPr>
                <w:sz w:val="22"/>
                <w:szCs w:val="22"/>
                <w:lang w:eastAsia="en-US"/>
              </w:rPr>
            </w:pPr>
            <w:r w:rsidRPr="00766769">
              <w:rPr>
                <w:sz w:val="22"/>
                <w:szCs w:val="22"/>
                <w:lang w:eastAsia="en-US"/>
              </w:rPr>
              <w:t>20</w:t>
            </w:r>
            <w:r w:rsidR="00CA560B" w:rsidRPr="00766769">
              <w:rPr>
                <w:sz w:val="22"/>
                <w:szCs w:val="22"/>
                <w:lang w:eastAsia="en-US"/>
              </w:rPr>
              <w:t>2</w:t>
            </w:r>
          </w:p>
        </w:tc>
        <w:tc>
          <w:tcPr>
            <w:tcW w:w="284" w:type="dxa"/>
            <w:tcBorders>
              <w:top w:val="nil"/>
              <w:left w:val="nil"/>
              <w:bottom w:val="single" w:sz="4" w:space="0" w:color="auto"/>
              <w:right w:val="nil"/>
            </w:tcBorders>
            <w:vAlign w:val="bottom"/>
          </w:tcPr>
          <w:p w14:paraId="38390314" w14:textId="77777777" w:rsidR="004E513E" w:rsidRPr="00766769" w:rsidRDefault="00CA560B" w:rsidP="004E513E">
            <w:pPr>
              <w:autoSpaceDE/>
              <w:autoSpaceDN/>
              <w:rPr>
                <w:sz w:val="22"/>
                <w:szCs w:val="22"/>
                <w:lang w:eastAsia="en-US"/>
              </w:rPr>
            </w:pPr>
            <w:r w:rsidRPr="00766769">
              <w:rPr>
                <w:sz w:val="22"/>
                <w:szCs w:val="22"/>
                <w:lang w:eastAsia="en-US"/>
              </w:rPr>
              <w:t>0</w:t>
            </w:r>
          </w:p>
        </w:tc>
        <w:tc>
          <w:tcPr>
            <w:tcW w:w="2693" w:type="dxa"/>
            <w:tcBorders>
              <w:top w:val="nil"/>
              <w:left w:val="nil"/>
              <w:bottom w:val="nil"/>
              <w:right w:val="nil"/>
            </w:tcBorders>
            <w:vAlign w:val="bottom"/>
          </w:tcPr>
          <w:p w14:paraId="7E37E34A" w14:textId="77777777" w:rsidR="004E513E" w:rsidRPr="00766769" w:rsidRDefault="004E513E" w:rsidP="004E513E">
            <w:pPr>
              <w:tabs>
                <w:tab w:val="left" w:pos="2098"/>
              </w:tabs>
              <w:autoSpaceDE/>
              <w:autoSpaceDN/>
              <w:ind w:left="57"/>
              <w:rPr>
                <w:sz w:val="22"/>
                <w:szCs w:val="22"/>
                <w:lang w:eastAsia="en-US"/>
              </w:rPr>
            </w:pPr>
            <w:r w:rsidRPr="00766769">
              <w:rPr>
                <w:sz w:val="22"/>
                <w:szCs w:val="22"/>
                <w:lang w:eastAsia="en-US"/>
              </w:rPr>
              <w:t>г.</w:t>
            </w:r>
            <w:r w:rsidRPr="00766769">
              <w:rPr>
                <w:sz w:val="22"/>
                <w:szCs w:val="22"/>
                <w:lang w:eastAsia="en-US"/>
              </w:rPr>
              <w:tab/>
              <w:t>М.П.</w:t>
            </w:r>
          </w:p>
        </w:tc>
      </w:tr>
    </w:tbl>
    <w:p w14:paraId="3E2045D8" w14:textId="77777777" w:rsidR="0009720A" w:rsidRPr="00875A04" w:rsidRDefault="0011078C" w:rsidP="00931549">
      <w:pPr>
        <w:adjustRightInd w:val="0"/>
        <w:ind w:firstLine="540"/>
        <w:jc w:val="both"/>
        <w:rPr>
          <w:sz w:val="24"/>
          <w:szCs w:val="24"/>
        </w:rPr>
      </w:pPr>
      <w:r w:rsidRPr="00875A04">
        <w:rPr>
          <w:sz w:val="24"/>
          <w:szCs w:val="24"/>
        </w:rPr>
        <w:br w:type="page"/>
      </w:r>
    </w:p>
    <w:p w14:paraId="77245152" w14:textId="77777777" w:rsidR="0009720A" w:rsidRPr="00875A04" w:rsidRDefault="0009720A" w:rsidP="0009720A">
      <w:pPr>
        <w:adjustRightInd w:val="0"/>
        <w:ind w:firstLine="540"/>
        <w:jc w:val="both"/>
        <w:rPr>
          <w:b/>
          <w:i/>
          <w:sz w:val="24"/>
          <w:szCs w:val="24"/>
        </w:rPr>
      </w:pPr>
      <w:r w:rsidRPr="00875A04">
        <w:rPr>
          <w:b/>
          <w:i/>
          <w:sz w:val="24"/>
          <w:szCs w:val="24"/>
        </w:rPr>
        <w:lastRenderedPageBreak/>
        <w:t>А) Изменения вносятся в</w:t>
      </w:r>
      <w:r w:rsidR="00BA3EFC" w:rsidRPr="00875A04">
        <w:rPr>
          <w:b/>
          <w:i/>
          <w:sz w:val="24"/>
          <w:szCs w:val="24"/>
        </w:rPr>
        <w:t xml:space="preserve"> </w:t>
      </w:r>
      <w:r w:rsidR="004233B0" w:rsidRPr="00875A04">
        <w:rPr>
          <w:b/>
          <w:i/>
          <w:sz w:val="24"/>
          <w:szCs w:val="24"/>
        </w:rPr>
        <w:t xml:space="preserve">пп. </w:t>
      </w:r>
      <w:r w:rsidR="005F047C">
        <w:rPr>
          <w:b/>
          <w:i/>
          <w:sz w:val="24"/>
          <w:szCs w:val="24"/>
        </w:rPr>
        <w:t>2</w:t>
      </w:r>
      <w:r w:rsidR="004233B0" w:rsidRPr="00875A04">
        <w:rPr>
          <w:b/>
          <w:i/>
          <w:sz w:val="24"/>
          <w:szCs w:val="24"/>
        </w:rPr>
        <w:t xml:space="preserve"> </w:t>
      </w:r>
      <w:r w:rsidR="00BA3EFC" w:rsidRPr="00875A04">
        <w:rPr>
          <w:b/>
          <w:i/>
          <w:sz w:val="24"/>
          <w:szCs w:val="24"/>
        </w:rPr>
        <w:t>п</w:t>
      </w:r>
      <w:r w:rsidRPr="00875A04">
        <w:rPr>
          <w:b/>
          <w:i/>
          <w:sz w:val="24"/>
          <w:szCs w:val="24"/>
        </w:rPr>
        <w:t>. 9.5.</w:t>
      </w:r>
      <w:r w:rsidR="00342CC2" w:rsidRPr="00875A04">
        <w:rPr>
          <w:b/>
          <w:i/>
          <w:sz w:val="24"/>
          <w:szCs w:val="24"/>
        </w:rPr>
        <w:t>1.</w:t>
      </w:r>
      <w:r w:rsidRPr="00875A04">
        <w:rPr>
          <w:b/>
          <w:i/>
          <w:sz w:val="24"/>
          <w:szCs w:val="24"/>
        </w:rPr>
        <w:t>2. Условий выпуска</w:t>
      </w:r>
      <w:r w:rsidR="00BA3EFC" w:rsidRPr="00875A04">
        <w:rPr>
          <w:b/>
          <w:i/>
          <w:sz w:val="24"/>
          <w:szCs w:val="24"/>
        </w:rPr>
        <w:t xml:space="preserve"> биржевых облигаций</w:t>
      </w:r>
      <w:r w:rsidR="002D7223" w:rsidRPr="00875A04">
        <w:rPr>
          <w:b/>
          <w:i/>
          <w:sz w:val="24"/>
          <w:szCs w:val="24"/>
        </w:rPr>
        <w:t xml:space="preserve"> в рамках Программы биржевых облигаций</w:t>
      </w:r>
      <w:r w:rsidR="00BA3EFC" w:rsidRPr="00875A04">
        <w:rPr>
          <w:b/>
          <w:i/>
          <w:sz w:val="24"/>
          <w:szCs w:val="24"/>
        </w:rPr>
        <w:t xml:space="preserve">. </w:t>
      </w:r>
      <w:r w:rsidRPr="00875A04">
        <w:rPr>
          <w:b/>
          <w:i/>
          <w:sz w:val="24"/>
          <w:szCs w:val="24"/>
        </w:rPr>
        <w:t xml:space="preserve"> </w:t>
      </w:r>
    </w:p>
    <w:p w14:paraId="4750BF88" w14:textId="77777777" w:rsidR="0009720A" w:rsidRPr="00875A04" w:rsidRDefault="0009720A" w:rsidP="0009720A">
      <w:pPr>
        <w:adjustRightInd w:val="0"/>
        <w:ind w:firstLine="540"/>
        <w:jc w:val="both"/>
        <w:rPr>
          <w:b/>
          <w:i/>
          <w:sz w:val="24"/>
          <w:szCs w:val="24"/>
        </w:rPr>
      </w:pPr>
    </w:p>
    <w:p w14:paraId="7FD0B146" w14:textId="77777777" w:rsidR="0009720A" w:rsidRPr="00875A04" w:rsidRDefault="0009720A" w:rsidP="00931549">
      <w:pPr>
        <w:adjustRightInd w:val="0"/>
        <w:ind w:firstLine="540"/>
        <w:jc w:val="both"/>
        <w:rPr>
          <w:b/>
          <w:u w:val="single"/>
        </w:rPr>
      </w:pPr>
      <w:r w:rsidRPr="00875A04">
        <w:rPr>
          <w:b/>
          <w:u w:val="single"/>
        </w:rPr>
        <w:t>Текст изменяемой редакции:</w:t>
      </w:r>
    </w:p>
    <w:p w14:paraId="042DC7B7" w14:textId="77777777" w:rsidR="00C77E4E" w:rsidRPr="00875A04" w:rsidRDefault="00C77E4E" w:rsidP="00431DC0">
      <w:pPr>
        <w:adjustRightInd w:val="0"/>
        <w:ind w:firstLine="539"/>
        <w:jc w:val="both"/>
        <w:rPr>
          <w:b/>
          <w:bCs/>
          <w:i/>
          <w:iCs/>
        </w:rPr>
      </w:pPr>
    </w:p>
    <w:p w14:paraId="6B535F91" w14:textId="77777777" w:rsidR="005F047C" w:rsidRPr="00533709" w:rsidRDefault="005F047C" w:rsidP="005F047C">
      <w:pPr>
        <w:widowControl w:val="0"/>
        <w:ind w:firstLine="539"/>
        <w:jc w:val="both"/>
        <w:rPr>
          <w:b/>
          <w:bCs/>
          <w:i/>
          <w:iCs/>
        </w:rPr>
      </w:pPr>
      <w:r w:rsidRPr="00533709">
        <w:rPr>
          <w:b/>
          <w:bCs/>
          <w:i/>
          <w:iCs/>
        </w:rPr>
        <w:t>2) Показатель «отношение Net Debt к EBITDA» в течение периода с даты начала размещения Биржевых облигаций до даты погашения Биржевых облигаций, рассчитанный по данным консолидированной финансовой отчетности Эмитента, составленной в соответствии Международными стандартами финансовой отчетности (МСФО), по состоянию на дату окончания любого отчетного периода, начиная с отчетного периода, за который будет составлена такая отчетность после даты начала размещения Биржевых облигаций, превышает значение 3,5.</w:t>
      </w:r>
    </w:p>
    <w:p w14:paraId="78861E55" w14:textId="77777777" w:rsidR="005F047C" w:rsidRPr="00533709" w:rsidRDefault="005F047C" w:rsidP="005F047C">
      <w:pPr>
        <w:pStyle w:val="af8"/>
        <w:widowControl w:val="0"/>
        <w:ind w:left="0" w:firstLine="709"/>
        <w:jc w:val="both"/>
        <w:rPr>
          <w:b/>
          <w:bCs/>
          <w:i/>
          <w:iCs/>
        </w:rPr>
      </w:pPr>
      <w:r w:rsidRPr="00533709">
        <w:rPr>
          <w:b/>
          <w:bCs/>
          <w:i/>
          <w:iCs/>
        </w:rPr>
        <w:t>Для целей расчета показателя используется годовая аудированная консолидированная финансовая отчетность в соответствии с МСФО и промежуточная консолидированная отчетность в соответствии с МСФО (а в случае, если в отношении нее проводился аудит – аудированная промежуточная отчетность в соответстви с МСФО).</w:t>
      </w:r>
    </w:p>
    <w:p w14:paraId="4C468901" w14:textId="77777777" w:rsidR="005F047C" w:rsidRPr="00533709" w:rsidRDefault="005F047C" w:rsidP="005F047C">
      <w:pPr>
        <w:pStyle w:val="af8"/>
        <w:widowControl w:val="0"/>
        <w:ind w:left="0" w:firstLine="709"/>
        <w:jc w:val="both"/>
        <w:rPr>
          <w:b/>
          <w:bCs/>
          <w:i/>
          <w:iCs/>
        </w:rPr>
      </w:pPr>
      <w:r w:rsidRPr="00533709">
        <w:rPr>
          <w:b/>
          <w:bCs/>
          <w:i/>
          <w:iCs/>
        </w:rPr>
        <w:t>Показатель «отношение Net Debt к EBITDA» рассчитывается как результат деления значения показателя «Net Debt» на значение показателя «EBITDA».</w:t>
      </w:r>
    </w:p>
    <w:p w14:paraId="4902DB61" w14:textId="77777777" w:rsidR="005F047C" w:rsidRPr="00533709" w:rsidRDefault="005F047C" w:rsidP="005F047C">
      <w:pPr>
        <w:widowControl w:val="0"/>
        <w:ind w:firstLine="709"/>
        <w:jc w:val="both"/>
        <w:rPr>
          <w:b/>
          <w:bCs/>
          <w:i/>
          <w:iCs/>
        </w:rPr>
      </w:pPr>
      <w:r w:rsidRPr="00533709">
        <w:rPr>
          <w:b/>
          <w:bCs/>
          <w:i/>
          <w:iCs/>
        </w:rPr>
        <w:t xml:space="preserve">Показатель «Net Debt» рассчитывается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 как сумма по статьям «Долгосрочные кредиты и займы» и «Краткосрочные кредиты и займы», уменьшенная на значение статей «Денежные средства и их эквиваленты» и «Депозиты (сроком более 90 дней)». Для расчета </w:t>
      </w:r>
      <w:r w:rsidRPr="00533709">
        <w:rPr>
          <w:b/>
          <w:bCs/>
          <w:i/>
          <w:iCs/>
          <w:lang w:val="en-US"/>
        </w:rPr>
        <w:t>Net</w:t>
      </w:r>
      <w:r w:rsidRPr="00533709">
        <w:rPr>
          <w:b/>
          <w:bCs/>
          <w:i/>
          <w:iCs/>
        </w:rPr>
        <w:t xml:space="preserve"> </w:t>
      </w:r>
      <w:r w:rsidRPr="00533709">
        <w:rPr>
          <w:b/>
          <w:bCs/>
          <w:i/>
          <w:iCs/>
          <w:lang w:val="en-US"/>
        </w:rPr>
        <w:t>Debt</w:t>
      </w:r>
      <w:r w:rsidRPr="00533709">
        <w:rPr>
          <w:b/>
          <w:bCs/>
          <w:i/>
          <w:iCs/>
        </w:rPr>
        <w:t xml:space="preserve"> применяются значения указанных статей из формы отчетности «Консолидированный отчет о финансовом положении».</w:t>
      </w:r>
    </w:p>
    <w:p w14:paraId="0DA70749" w14:textId="77777777" w:rsidR="005F047C" w:rsidRPr="00533709" w:rsidRDefault="005F047C" w:rsidP="005F047C">
      <w:pPr>
        <w:pStyle w:val="af8"/>
        <w:widowControl w:val="0"/>
        <w:ind w:left="0" w:firstLine="709"/>
        <w:jc w:val="both"/>
        <w:rPr>
          <w:b/>
          <w:bCs/>
          <w:i/>
          <w:iCs/>
        </w:rPr>
      </w:pPr>
      <w:r w:rsidRPr="00533709">
        <w:rPr>
          <w:b/>
          <w:bCs/>
          <w:i/>
          <w:iCs/>
        </w:rPr>
        <w:t>Показатель «EBITDA» рассчитывается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 как сумма по статьям «Операционная прибыль» (форма отчетности «Консолидированный отчет о совокупном доходе»), «Амортизация основных средств» (форма отчетности «Консолидированный отчет о движении денежных средств») и «Амортизация нематериальных активов» (форма отчетности «Консолидированный отчет о движении денежных средств») за вычетом статьи «Прочие операционные доходы и расходы, нетто» (форма отчетности «Консолидированный отчет о совокупном доходе») за соответствующий отчетный период. При этом Показатель «EBITDA» на каждую отчетную дату рассчитывается за предшествующие 12 месяцев, таким образом показатель «EBITDA» на основании промежуточной отчетности представляет собой сумму значений показателя «EBITDA» за первое полугодие текущего (отчетного) года и показателя «EBITDA» за второе полугодие предыдущего (непосредственно предшествующего отчетному) года.</w:t>
      </w:r>
    </w:p>
    <w:p w14:paraId="5BCF3656" w14:textId="77777777" w:rsidR="00C77E4E" w:rsidRPr="00875A04" w:rsidRDefault="00C77E4E" w:rsidP="00931549">
      <w:pPr>
        <w:adjustRightInd w:val="0"/>
        <w:ind w:firstLine="539"/>
        <w:jc w:val="both"/>
        <w:rPr>
          <w:b/>
          <w:i/>
        </w:rPr>
      </w:pPr>
    </w:p>
    <w:p w14:paraId="376471A3" w14:textId="77777777" w:rsidR="00BA3EFC" w:rsidRDefault="00BA3EFC" w:rsidP="00BA3EFC">
      <w:pPr>
        <w:adjustRightInd w:val="0"/>
        <w:ind w:firstLine="540"/>
        <w:jc w:val="both"/>
        <w:rPr>
          <w:b/>
          <w:u w:val="single"/>
        </w:rPr>
      </w:pPr>
      <w:r w:rsidRPr="00875A04">
        <w:rPr>
          <w:b/>
          <w:u w:val="single"/>
        </w:rPr>
        <w:t>Текст новой редакции:</w:t>
      </w:r>
    </w:p>
    <w:p w14:paraId="23683F60" w14:textId="77777777" w:rsidR="005F047C" w:rsidRPr="00875A04" w:rsidRDefault="005F047C" w:rsidP="00BA3EFC">
      <w:pPr>
        <w:adjustRightInd w:val="0"/>
        <w:ind w:firstLine="540"/>
        <w:jc w:val="both"/>
        <w:rPr>
          <w:b/>
          <w:u w:val="single"/>
        </w:rPr>
      </w:pPr>
    </w:p>
    <w:p w14:paraId="71541273" w14:textId="77777777" w:rsidR="005F047C" w:rsidRPr="005F047C" w:rsidRDefault="005F047C" w:rsidP="005F047C">
      <w:pPr>
        <w:ind w:firstLine="539"/>
        <w:jc w:val="both"/>
        <w:rPr>
          <w:i/>
        </w:rPr>
      </w:pPr>
      <w:r w:rsidRPr="005F047C">
        <w:rPr>
          <w:b/>
          <w:i/>
        </w:rPr>
        <w:t>2)</w:t>
      </w:r>
      <w:r w:rsidRPr="005F047C">
        <w:rPr>
          <w:i/>
        </w:rPr>
        <w:t xml:space="preserve"> Показатель «отношение Net Debt к EBITDA» в течение периода с даты начала размещения Биржевых облигаций до даты погашения Биржевых облигаций, рассчитанный по данным консолидированной финансовой отчетности Эмитента, составленной в соответствии Международными стандартами финансовой отчетности (МСФО), по состоянию на дату окончания любого отчетного периода, начиная с отчетного периода, за который будет составлена такая отчетность после даты начала размещения Биржевых облигаций, превышает значение </w:t>
      </w:r>
      <w:r w:rsidR="00CA560B">
        <w:rPr>
          <w:i/>
        </w:rPr>
        <w:t>4</w:t>
      </w:r>
      <w:r w:rsidRPr="005F047C">
        <w:rPr>
          <w:i/>
        </w:rPr>
        <w:t>,5.</w:t>
      </w:r>
    </w:p>
    <w:p w14:paraId="4154B80B" w14:textId="77777777" w:rsidR="005F047C" w:rsidRPr="00143944" w:rsidRDefault="005F047C" w:rsidP="005F047C">
      <w:pPr>
        <w:pStyle w:val="af8"/>
        <w:ind w:left="0" w:firstLine="539"/>
        <w:contextualSpacing w:val="0"/>
        <w:jc w:val="both"/>
        <w:rPr>
          <w:i/>
        </w:rPr>
      </w:pPr>
      <w:r w:rsidRPr="005F047C">
        <w:rPr>
          <w:i/>
        </w:rPr>
        <w:t xml:space="preserve">Для целей расчета показателя используется годовая </w:t>
      </w:r>
      <w:r w:rsidRPr="00143944">
        <w:rPr>
          <w:i/>
        </w:rPr>
        <w:t>аудированная консолидированная финансовая отчетность в соответствии с МСФО и промежуточная консолидированная отчетность в соответствии с МСФО (а в случае, если в отношении нее проводился аудит – аудированная промежуточная отчетность в соответствии с МСФО).</w:t>
      </w:r>
    </w:p>
    <w:p w14:paraId="6A2557FC" w14:textId="77777777" w:rsidR="005F047C" w:rsidRPr="00143944" w:rsidRDefault="005F047C" w:rsidP="005F047C">
      <w:pPr>
        <w:pStyle w:val="af8"/>
        <w:ind w:left="0" w:firstLine="539"/>
        <w:contextualSpacing w:val="0"/>
        <w:jc w:val="both"/>
        <w:rPr>
          <w:i/>
        </w:rPr>
      </w:pPr>
      <w:r w:rsidRPr="00143944">
        <w:rPr>
          <w:i/>
        </w:rPr>
        <w:t>Показатель «отношение Net Debt к EBITDA» рассчитывается как результат деления значения показателя «Net Debt» на значение показателя «EBITDA».</w:t>
      </w:r>
    </w:p>
    <w:p w14:paraId="35AD3E28" w14:textId="77777777" w:rsidR="00F74568" w:rsidRPr="00143944" w:rsidRDefault="00F74568" w:rsidP="00F74568">
      <w:pPr>
        <w:ind w:firstLine="539"/>
        <w:jc w:val="both"/>
        <w:rPr>
          <w:i/>
        </w:rPr>
      </w:pPr>
      <w:r w:rsidRPr="00143944">
        <w:rPr>
          <w:i/>
        </w:rPr>
        <w:t>Показатель «Net Debt» рассчитывается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 как сумма по статьям «Долгосрочные кредиты и займы» (форма отчетности «Консолидированный отчет о финансовом положении»), «Краткосрочные кредиты и займы» (форма отчетности «Консолидированный отчет о финансовом положении»), увеличенная на размер обязательств по поручительствам и гарантиям, предоставленных Группой Компаний ДелоПортс лицам, не являющимися участниками Группы Компаний ДелоПортс (форма отчетности «Примечания к консолидированной финансовой отчетности»), и на сумму стоимости активов и/или имущества Группы Компаний ДелоПортс, в отношении которых Группой Компаний ДелоПортс создано обременение в обеспечение исполнения обязательств любого лица, не являющегося частью Группы Компаний ДелоПортс (форма отчетности «Примечания к консолидированной финансовой отчетности»), которая уменьшается  на суммы статей «Денежные средства и их эквиваленты» и «Депозиты (сроком более 90 дней)» (форма отчетности «Консолидированный отчет о финансовом положении»), свободные от обременения. Под Группой Компаний ДелоПортс по тексту Условий выпуска понимаются все компании, входящие в состав консолидированной финансовой отчетности Эмитента, составленной в соответствии с МСФО.</w:t>
      </w:r>
    </w:p>
    <w:p w14:paraId="523655AE" w14:textId="77777777" w:rsidR="0064034B" w:rsidRPr="00143944" w:rsidRDefault="0064034B" w:rsidP="0064034B">
      <w:pPr>
        <w:pStyle w:val="af8"/>
        <w:ind w:left="0" w:firstLine="539"/>
        <w:contextualSpacing w:val="0"/>
        <w:jc w:val="both"/>
        <w:rPr>
          <w:i/>
        </w:rPr>
      </w:pPr>
      <w:r w:rsidRPr="00143944">
        <w:rPr>
          <w:i/>
        </w:rPr>
        <w:lastRenderedPageBreak/>
        <w:t>Эмитент обязуется раскры</w:t>
      </w:r>
      <w:r w:rsidR="005F21C3" w:rsidRPr="00143944">
        <w:rPr>
          <w:i/>
        </w:rPr>
        <w:t>ва</w:t>
      </w:r>
      <w:r w:rsidRPr="00143944">
        <w:rPr>
          <w:i/>
        </w:rPr>
        <w:t>ть в консолидированной финансовой отчетности Эмитента (форма отчетности «Примечания к консолидированной финансовой отчетности») информацию о размере обязательств по поручительствам и гарантиям, предоставленных Группой Компаний ДелоПортс лицам, не являющимися участниками Группы Компаний ДелоПортс (форма отчетности «Примечания к консолидированной финансовой отчетности»</w:t>
      </w:r>
      <w:r w:rsidR="006A0F3F" w:rsidRPr="00143944">
        <w:rPr>
          <w:i/>
        </w:rPr>
        <w:t xml:space="preserve"> раздел «Условные и договорные обязательства»</w:t>
      </w:r>
      <w:r w:rsidRPr="00143944">
        <w:rPr>
          <w:i/>
        </w:rPr>
        <w:t>) либо указ</w:t>
      </w:r>
      <w:r w:rsidR="005F21C3" w:rsidRPr="00143944">
        <w:rPr>
          <w:i/>
        </w:rPr>
        <w:t>ыв</w:t>
      </w:r>
      <w:r w:rsidRPr="00143944">
        <w:rPr>
          <w:i/>
        </w:rPr>
        <w:t>ать, что такие обязательства отсутствуют.</w:t>
      </w:r>
    </w:p>
    <w:p w14:paraId="0981C330" w14:textId="77777777" w:rsidR="0064034B" w:rsidRPr="00143944" w:rsidRDefault="0064034B" w:rsidP="0064034B">
      <w:pPr>
        <w:pStyle w:val="af8"/>
        <w:ind w:left="0" w:firstLine="539"/>
        <w:contextualSpacing w:val="0"/>
        <w:jc w:val="both"/>
        <w:rPr>
          <w:i/>
        </w:rPr>
      </w:pPr>
      <w:r w:rsidRPr="00143944">
        <w:rPr>
          <w:i/>
        </w:rPr>
        <w:t>Эмитент обязуется раскры</w:t>
      </w:r>
      <w:r w:rsidR="005F21C3" w:rsidRPr="00143944">
        <w:rPr>
          <w:i/>
        </w:rPr>
        <w:t>ва</w:t>
      </w:r>
      <w:r w:rsidRPr="00143944">
        <w:rPr>
          <w:i/>
        </w:rPr>
        <w:t>ть в консолидированной финансовой отчетности Эмитента (форма отчетности «Примечания к консолидированной финансовой отчетности»</w:t>
      </w:r>
      <w:r w:rsidR="006A0F3F" w:rsidRPr="00143944">
        <w:rPr>
          <w:i/>
        </w:rPr>
        <w:t xml:space="preserve"> раздел «Условные и договорные обязательства»</w:t>
      </w:r>
      <w:r w:rsidRPr="00143944">
        <w:rPr>
          <w:i/>
        </w:rPr>
        <w:t>) информацию о стоимости активов и/или имущества Группы Компаний ДелоПортс, в отношении которых Группой Компаний ДелоПортс создано обременение в обеспечение исполнения обязательств любого лица, не являющегося частью Группы Компаний ДелоПортс либо указ</w:t>
      </w:r>
      <w:r w:rsidR="005F21C3" w:rsidRPr="00143944">
        <w:rPr>
          <w:i/>
        </w:rPr>
        <w:t>ыв</w:t>
      </w:r>
      <w:r w:rsidRPr="00143944">
        <w:rPr>
          <w:i/>
        </w:rPr>
        <w:t>ать, что такие обременения отсутствуют.</w:t>
      </w:r>
    </w:p>
    <w:p w14:paraId="5229CD25" w14:textId="0ED909DA" w:rsidR="0064034B" w:rsidRPr="00143944" w:rsidRDefault="0064034B" w:rsidP="0064034B">
      <w:pPr>
        <w:pStyle w:val="af8"/>
        <w:ind w:left="0" w:firstLine="539"/>
        <w:contextualSpacing w:val="0"/>
        <w:jc w:val="both"/>
        <w:rPr>
          <w:i/>
        </w:rPr>
      </w:pPr>
      <w:r w:rsidRPr="00143944">
        <w:rPr>
          <w:i/>
        </w:rPr>
        <w:t>Эмитент обязуется раскры</w:t>
      </w:r>
      <w:r w:rsidR="005F21C3" w:rsidRPr="00143944">
        <w:rPr>
          <w:i/>
        </w:rPr>
        <w:t>ва</w:t>
      </w:r>
      <w:r w:rsidRPr="00143944">
        <w:rPr>
          <w:i/>
        </w:rPr>
        <w:t>ть в консолидированной финансовой отчетности Эмитента (форма отчетности «Примечания к консолидированной финансовой отчетности»</w:t>
      </w:r>
      <w:r w:rsidR="00EE5B30" w:rsidRPr="00143944">
        <w:rPr>
          <w:i/>
        </w:rPr>
        <w:t xml:space="preserve"> раздел «Денежные средства и их эквиваленты»</w:t>
      </w:r>
      <w:r w:rsidRPr="00143944">
        <w:rPr>
          <w:i/>
        </w:rPr>
        <w:t xml:space="preserve">) информацию о </w:t>
      </w:r>
      <w:r w:rsidR="004560AD" w:rsidRPr="00143944">
        <w:rPr>
          <w:i/>
        </w:rPr>
        <w:t xml:space="preserve">размере </w:t>
      </w:r>
      <w:r w:rsidR="00713537" w:rsidRPr="00143944">
        <w:rPr>
          <w:i/>
        </w:rPr>
        <w:t>обремененных</w:t>
      </w:r>
      <w:r w:rsidR="00EE5B30" w:rsidRPr="00143944">
        <w:rPr>
          <w:i/>
        </w:rPr>
        <w:t xml:space="preserve"> денежных средств</w:t>
      </w:r>
      <w:r w:rsidRPr="00143944">
        <w:rPr>
          <w:i/>
        </w:rPr>
        <w:t xml:space="preserve"> либо указ</w:t>
      </w:r>
      <w:r w:rsidR="005F21C3" w:rsidRPr="00143944">
        <w:rPr>
          <w:i/>
        </w:rPr>
        <w:t>ыв</w:t>
      </w:r>
      <w:r w:rsidRPr="00143944">
        <w:rPr>
          <w:i/>
        </w:rPr>
        <w:t>ать, что такие обременения отсутствуют.</w:t>
      </w:r>
    </w:p>
    <w:p w14:paraId="28AFF3F0" w14:textId="375B9D75" w:rsidR="005F047C" w:rsidRDefault="005F047C" w:rsidP="005F047C">
      <w:pPr>
        <w:pStyle w:val="af8"/>
        <w:ind w:left="0" w:firstLine="539"/>
        <w:contextualSpacing w:val="0"/>
        <w:jc w:val="both"/>
        <w:rPr>
          <w:i/>
        </w:rPr>
      </w:pPr>
      <w:r w:rsidRPr="00143944">
        <w:rPr>
          <w:i/>
        </w:rPr>
        <w:t>Показатель «EBITDA» рассчитывается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 как сумма по статьям «Операционная прибыль» (форма отчетности «Консолидированный отчет о совокупном доходе»), «Амортизация основных средств» (форма отчетности «Консолидированный отчет о движении денежных средств») и «Амортизация активов</w:t>
      </w:r>
      <w:r w:rsidR="00224054" w:rsidRPr="00143944">
        <w:rPr>
          <w:i/>
        </w:rPr>
        <w:t xml:space="preserve"> в форме права пользования</w:t>
      </w:r>
      <w:r w:rsidRPr="00143944">
        <w:rPr>
          <w:i/>
        </w:rPr>
        <w:t xml:space="preserve">» (форма отчетности «Консолидированный отчет о движении денежных средств») за вычетом статьи «Прочие операционные доходы и расходы, нетто» (форма отчетности «Консолидированный отчет о совокупном доходе») за соответствующий отчетный период. При этом Показатель «EBITDA» на каждую отчетную дату рассчитывается за предшествующие 12 месяцев, таким образом показатель «EBITDA» на основании промежуточной отчетности представляет собой сумму значений показателя «EBITDA» за первое полугодие </w:t>
      </w:r>
      <w:r w:rsidRPr="005F047C">
        <w:rPr>
          <w:i/>
        </w:rPr>
        <w:t>текущего (отчетного) года и показателя «EBITDA» за второе полугодие предыдущего (непосредственно предшествующего отчетному) года.</w:t>
      </w:r>
    </w:p>
    <w:p w14:paraId="5C3AC5CE" w14:textId="50BDDF89" w:rsidR="00BA3EFC" w:rsidRPr="00875A04" w:rsidRDefault="00BA3EFC" w:rsidP="00931549">
      <w:pPr>
        <w:adjustRightInd w:val="0"/>
        <w:ind w:firstLine="539"/>
        <w:jc w:val="both"/>
        <w:rPr>
          <w:b/>
          <w:i/>
        </w:rPr>
      </w:pPr>
    </w:p>
    <w:sectPr w:rsidR="00BA3EFC" w:rsidRPr="00875A04" w:rsidSect="00BA0157">
      <w:headerReference w:type="even" r:id="rId8"/>
      <w:headerReference w:type="default" r:id="rId9"/>
      <w:footerReference w:type="even" r:id="rId10"/>
      <w:footerReference w:type="default" r:id="rId11"/>
      <w:headerReference w:type="first" r:id="rId12"/>
      <w:footerReference w:type="first" r:id="rId13"/>
      <w:pgSz w:w="11906" w:h="16838"/>
      <w:pgMar w:top="993"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CED29" w14:textId="77777777" w:rsidR="00307960" w:rsidRDefault="00307960">
      <w:r>
        <w:separator/>
      </w:r>
    </w:p>
  </w:endnote>
  <w:endnote w:type="continuationSeparator" w:id="0">
    <w:p w14:paraId="5CC07C42" w14:textId="77777777" w:rsidR="00307960" w:rsidRDefault="0030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DFD7A" w14:textId="77777777" w:rsidR="00E65287" w:rsidRDefault="009559E4" w:rsidP="00EA074D">
    <w:pPr>
      <w:pStyle w:val="ad"/>
      <w:framePr w:wrap="around" w:vAnchor="text" w:hAnchor="margin" w:xAlign="right" w:y="1"/>
      <w:rPr>
        <w:rStyle w:val="ac"/>
      </w:rPr>
    </w:pPr>
    <w:r>
      <w:rPr>
        <w:rStyle w:val="ac"/>
      </w:rPr>
      <w:fldChar w:fldCharType="begin"/>
    </w:r>
    <w:r w:rsidR="00E65287">
      <w:rPr>
        <w:rStyle w:val="ac"/>
      </w:rPr>
      <w:instrText xml:space="preserve">PAGE  </w:instrText>
    </w:r>
    <w:r>
      <w:rPr>
        <w:rStyle w:val="ac"/>
      </w:rPr>
      <w:fldChar w:fldCharType="end"/>
    </w:r>
  </w:p>
  <w:p w14:paraId="1661D6CA" w14:textId="77777777" w:rsidR="00E65287" w:rsidRDefault="00E65287" w:rsidP="00ED4A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08A7E" w14:textId="77777777" w:rsidR="00E65287" w:rsidRDefault="009559E4" w:rsidP="00EA074D">
    <w:pPr>
      <w:pStyle w:val="ad"/>
      <w:framePr w:wrap="around" w:vAnchor="text" w:hAnchor="margin" w:xAlign="right" w:y="1"/>
      <w:rPr>
        <w:rStyle w:val="ac"/>
      </w:rPr>
    </w:pPr>
    <w:r>
      <w:rPr>
        <w:rStyle w:val="ac"/>
      </w:rPr>
      <w:fldChar w:fldCharType="begin"/>
    </w:r>
    <w:r w:rsidR="00E65287">
      <w:rPr>
        <w:rStyle w:val="ac"/>
      </w:rPr>
      <w:instrText xml:space="preserve">PAGE  </w:instrText>
    </w:r>
    <w:r>
      <w:rPr>
        <w:rStyle w:val="ac"/>
      </w:rPr>
      <w:fldChar w:fldCharType="separate"/>
    </w:r>
    <w:r w:rsidR="00364F61">
      <w:rPr>
        <w:rStyle w:val="ac"/>
        <w:noProof/>
      </w:rPr>
      <w:t>2</w:t>
    </w:r>
    <w:r>
      <w:rPr>
        <w:rStyle w:val="ac"/>
      </w:rPr>
      <w:fldChar w:fldCharType="end"/>
    </w:r>
  </w:p>
  <w:p w14:paraId="7FADF5F6" w14:textId="77777777" w:rsidR="00E65287" w:rsidRDefault="00E65287" w:rsidP="00ED4A22">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83BB0" w14:textId="77777777" w:rsidR="00405F8D" w:rsidRDefault="00405F8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CDA1" w14:textId="77777777" w:rsidR="00307960" w:rsidRDefault="00307960">
      <w:r>
        <w:separator/>
      </w:r>
    </w:p>
  </w:footnote>
  <w:footnote w:type="continuationSeparator" w:id="0">
    <w:p w14:paraId="4FCE21A0" w14:textId="77777777" w:rsidR="00307960" w:rsidRDefault="00307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D2C88" w14:textId="77777777" w:rsidR="00405F8D" w:rsidRDefault="00405F8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BAD4E" w14:textId="77777777" w:rsidR="00405F8D" w:rsidRDefault="00405F8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BE4AF" w14:textId="77777777" w:rsidR="00405F8D" w:rsidRDefault="00405F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3DF2D2E"/>
    <w:multiLevelType w:val="hybridMultilevel"/>
    <w:tmpl w:val="D0026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87DA5"/>
    <w:multiLevelType w:val="hybridMultilevel"/>
    <w:tmpl w:val="CA6083FA"/>
    <w:lvl w:ilvl="0" w:tplc="04190017">
      <w:start w:val="1"/>
      <w:numFmt w:val="lowerLetter"/>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45132684"/>
    <w:multiLevelType w:val="hybridMultilevel"/>
    <w:tmpl w:val="B41663E0"/>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61BF14E6"/>
    <w:multiLevelType w:val="hybridMultilevel"/>
    <w:tmpl w:val="E4D8DDEA"/>
    <w:lvl w:ilvl="0" w:tplc="042C5A7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0"/>
  </w:num>
  <w:num w:numId="8">
    <w:abstractNumId w:val="9"/>
  </w:num>
  <w:num w:numId="9">
    <w:abstractNumId w:val="6"/>
  </w:num>
  <w:num w:numId="10">
    <w:abstractNumId w:val="14"/>
  </w:num>
  <w:num w:numId="11">
    <w:abstractNumId w:val="2"/>
  </w:num>
  <w:num w:numId="12">
    <w:abstractNumId w:val="0"/>
  </w:num>
  <w:num w:numId="13">
    <w:abstractNumId w:val="5"/>
  </w:num>
  <w:num w:numId="14">
    <w:abstractNumId w:val="8"/>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F2"/>
    <w:rsid w:val="00000A50"/>
    <w:rsid w:val="000025E3"/>
    <w:rsid w:val="00002B49"/>
    <w:rsid w:val="00004A98"/>
    <w:rsid w:val="00005435"/>
    <w:rsid w:val="00014116"/>
    <w:rsid w:val="00014F6B"/>
    <w:rsid w:val="00020528"/>
    <w:rsid w:val="00020CBA"/>
    <w:rsid w:val="000233A2"/>
    <w:rsid w:val="000317AF"/>
    <w:rsid w:val="00032311"/>
    <w:rsid w:val="00032C26"/>
    <w:rsid w:val="00033381"/>
    <w:rsid w:val="0003513D"/>
    <w:rsid w:val="00035911"/>
    <w:rsid w:val="00052335"/>
    <w:rsid w:val="00054B01"/>
    <w:rsid w:val="00056A51"/>
    <w:rsid w:val="00056DD4"/>
    <w:rsid w:val="00056F29"/>
    <w:rsid w:val="0005701B"/>
    <w:rsid w:val="0006149B"/>
    <w:rsid w:val="000625E1"/>
    <w:rsid w:val="00066A0C"/>
    <w:rsid w:val="000673F1"/>
    <w:rsid w:val="0007078A"/>
    <w:rsid w:val="00073CB7"/>
    <w:rsid w:val="00074A87"/>
    <w:rsid w:val="00077D6E"/>
    <w:rsid w:val="00080570"/>
    <w:rsid w:val="00081291"/>
    <w:rsid w:val="00081FAE"/>
    <w:rsid w:val="00085280"/>
    <w:rsid w:val="00086AEC"/>
    <w:rsid w:val="00092A44"/>
    <w:rsid w:val="00093FBA"/>
    <w:rsid w:val="000950B1"/>
    <w:rsid w:val="0009546B"/>
    <w:rsid w:val="00095BDC"/>
    <w:rsid w:val="00096949"/>
    <w:rsid w:val="0009720A"/>
    <w:rsid w:val="000A0A38"/>
    <w:rsid w:val="000A12F1"/>
    <w:rsid w:val="000A2758"/>
    <w:rsid w:val="000A2A9C"/>
    <w:rsid w:val="000A3F81"/>
    <w:rsid w:val="000A516B"/>
    <w:rsid w:val="000A695A"/>
    <w:rsid w:val="000A6B62"/>
    <w:rsid w:val="000B2C9B"/>
    <w:rsid w:val="000B4E7A"/>
    <w:rsid w:val="000C3217"/>
    <w:rsid w:val="000C6F81"/>
    <w:rsid w:val="000C70C9"/>
    <w:rsid w:val="000C7F83"/>
    <w:rsid w:val="000D5F1D"/>
    <w:rsid w:val="000D6259"/>
    <w:rsid w:val="000E4A95"/>
    <w:rsid w:val="000E4C48"/>
    <w:rsid w:val="000F2389"/>
    <w:rsid w:val="000F3E39"/>
    <w:rsid w:val="000F6C39"/>
    <w:rsid w:val="000F73D2"/>
    <w:rsid w:val="001014AF"/>
    <w:rsid w:val="0010543E"/>
    <w:rsid w:val="00105665"/>
    <w:rsid w:val="00106886"/>
    <w:rsid w:val="001069D4"/>
    <w:rsid w:val="00106F7A"/>
    <w:rsid w:val="001075F7"/>
    <w:rsid w:val="001103FC"/>
    <w:rsid w:val="0011078C"/>
    <w:rsid w:val="001110DF"/>
    <w:rsid w:val="00113DC2"/>
    <w:rsid w:val="00114577"/>
    <w:rsid w:val="00114C34"/>
    <w:rsid w:val="00115490"/>
    <w:rsid w:val="0011554E"/>
    <w:rsid w:val="00115770"/>
    <w:rsid w:val="0011583F"/>
    <w:rsid w:val="00115E14"/>
    <w:rsid w:val="00116678"/>
    <w:rsid w:val="00116CE3"/>
    <w:rsid w:val="00123F62"/>
    <w:rsid w:val="001252FC"/>
    <w:rsid w:val="00125901"/>
    <w:rsid w:val="00131A04"/>
    <w:rsid w:val="0013279D"/>
    <w:rsid w:val="001333D7"/>
    <w:rsid w:val="00134330"/>
    <w:rsid w:val="00137324"/>
    <w:rsid w:val="0014007B"/>
    <w:rsid w:val="001418B8"/>
    <w:rsid w:val="0014303F"/>
    <w:rsid w:val="00143944"/>
    <w:rsid w:val="00144AD6"/>
    <w:rsid w:val="00144E70"/>
    <w:rsid w:val="00147415"/>
    <w:rsid w:val="00147E61"/>
    <w:rsid w:val="00154E33"/>
    <w:rsid w:val="001605C3"/>
    <w:rsid w:val="001639CA"/>
    <w:rsid w:val="00164AB5"/>
    <w:rsid w:val="00164B35"/>
    <w:rsid w:val="00165853"/>
    <w:rsid w:val="00166C80"/>
    <w:rsid w:val="001711BC"/>
    <w:rsid w:val="00171B0F"/>
    <w:rsid w:val="00172235"/>
    <w:rsid w:val="00173861"/>
    <w:rsid w:val="00173C59"/>
    <w:rsid w:val="00174A6D"/>
    <w:rsid w:val="001754E7"/>
    <w:rsid w:val="00180F12"/>
    <w:rsid w:val="0018377F"/>
    <w:rsid w:val="00187F5D"/>
    <w:rsid w:val="0019233F"/>
    <w:rsid w:val="0019287E"/>
    <w:rsid w:val="001A7F3B"/>
    <w:rsid w:val="001B0F65"/>
    <w:rsid w:val="001B1A8F"/>
    <w:rsid w:val="001B2D6A"/>
    <w:rsid w:val="001B31B4"/>
    <w:rsid w:val="001B374A"/>
    <w:rsid w:val="001B42B1"/>
    <w:rsid w:val="001B42CA"/>
    <w:rsid w:val="001C2EAC"/>
    <w:rsid w:val="001C6136"/>
    <w:rsid w:val="001D3090"/>
    <w:rsid w:val="001E22A0"/>
    <w:rsid w:val="001E2665"/>
    <w:rsid w:val="001E2AD9"/>
    <w:rsid w:val="001E4076"/>
    <w:rsid w:val="001E48C1"/>
    <w:rsid w:val="001E566E"/>
    <w:rsid w:val="001E5DD4"/>
    <w:rsid w:val="001E6554"/>
    <w:rsid w:val="001E6653"/>
    <w:rsid w:val="001F3671"/>
    <w:rsid w:val="00200049"/>
    <w:rsid w:val="002055AA"/>
    <w:rsid w:val="00205F52"/>
    <w:rsid w:val="00205F91"/>
    <w:rsid w:val="0020658E"/>
    <w:rsid w:val="002109C5"/>
    <w:rsid w:val="0021347F"/>
    <w:rsid w:val="0021445B"/>
    <w:rsid w:val="002146BB"/>
    <w:rsid w:val="00214C5A"/>
    <w:rsid w:val="00215570"/>
    <w:rsid w:val="00220380"/>
    <w:rsid w:val="00220DBE"/>
    <w:rsid w:val="002227EA"/>
    <w:rsid w:val="00224054"/>
    <w:rsid w:val="00226608"/>
    <w:rsid w:val="002324B8"/>
    <w:rsid w:val="00233F54"/>
    <w:rsid w:val="00234368"/>
    <w:rsid w:val="002352D5"/>
    <w:rsid w:val="002355C5"/>
    <w:rsid w:val="002358F9"/>
    <w:rsid w:val="00236585"/>
    <w:rsid w:val="00236644"/>
    <w:rsid w:val="0024075B"/>
    <w:rsid w:val="002409C1"/>
    <w:rsid w:val="0024273A"/>
    <w:rsid w:val="002446C3"/>
    <w:rsid w:val="0024476C"/>
    <w:rsid w:val="00250903"/>
    <w:rsid w:val="002529F7"/>
    <w:rsid w:val="00253D8B"/>
    <w:rsid w:val="0025497D"/>
    <w:rsid w:val="002557F6"/>
    <w:rsid w:val="00257D90"/>
    <w:rsid w:val="00257DA2"/>
    <w:rsid w:val="002600C5"/>
    <w:rsid w:val="00260BF7"/>
    <w:rsid w:val="00261BC3"/>
    <w:rsid w:val="0026557E"/>
    <w:rsid w:val="00266DAE"/>
    <w:rsid w:val="00275B91"/>
    <w:rsid w:val="002779C0"/>
    <w:rsid w:val="002817C5"/>
    <w:rsid w:val="00281A80"/>
    <w:rsid w:val="002846A9"/>
    <w:rsid w:val="00284773"/>
    <w:rsid w:val="002851DE"/>
    <w:rsid w:val="00285BFB"/>
    <w:rsid w:val="0028646E"/>
    <w:rsid w:val="002912E0"/>
    <w:rsid w:val="0029163D"/>
    <w:rsid w:val="002918AA"/>
    <w:rsid w:val="00291D27"/>
    <w:rsid w:val="00293045"/>
    <w:rsid w:val="002933B6"/>
    <w:rsid w:val="002960AF"/>
    <w:rsid w:val="0029674B"/>
    <w:rsid w:val="00296990"/>
    <w:rsid w:val="002A1098"/>
    <w:rsid w:val="002A70C4"/>
    <w:rsid w:val="002B28C3"/>
    <w:rsid w:val="002B4413"/>
    <w:rsid w:val="002C148D"/>
    <w:rsid w:val="002C2F16"/>
    <w:rsid w:val="002C3593"/>
    <w:rsid w:val="002C4E3A"/>
    <w:rsid w:val="002C70C1"/>
    <w:rsid w:val="002D041F"/>
    <w:rsid w:val="002D1310"/>
    <w:rsid w:val="002D4C12"/>
    <w:rsid w:val="002D587C"/>
    <w:rsid w:val="002D6D48"/>
    <w:rsid w:val="002D7223"/>
    <w:rsid w:val="002D7235"/>
    <w:rsid w:val="002D7D27"/>
    <w:rsid w:val="002E4385"/>
    <w:rsid w:val="002E4E24"/>
    <w:rsid w:val="002E77FE"/>
    <w:rsid w:val="002E7CD3"/>
    <w:rsid w:val="002F27E2"/>
    <w:rsid w:val="002F4E62"/>
    <w:rsid w:val="002F6104"/>
    <w:rsid w:val="002F7328"/>
    <w:rsid w:val="002F798C"/>
    <w:rsid w:val="003024CA"/>
    <w:rsid w:val="003046A5"/>
    <w:rsid w:val="00305BF2"/>
    <w:rsid w:val="0030622D"/>
    <w:rsid w:val="00307960"/>
    <w:rsid w:val="003133ED"/>
    <w:rsid w:val="00313615"/>
    <w:rsid w:val="00315400"/>
    <w:rsid w:val="00320D30"/>
    <w:rsid w:val="003346E2"/>
    <w:rsid w:val="003346EF"/>
    <w:rsid w:val="00335CC8"/>
    <w:rsid w:val="0034071B"/>
    <w:rsid w:val="00341669"/>
    <w:rsid w:val="00342CC2"/>
    <w:rsid w:val="00344174"/>
    <w:rsid w:val="00345021"/>
    <w:rsid w:val="00347450"/>
    <w:rsid w:val="003516CF"/>
    <w:rsid w:val="00352000"/>
    <w:rsid w:val="00352C2A"/>
    <w:rsid w:val="00353432"/>
    <w:rsid w:val="00353CB6"/>
    <w:rsid w:val="003607F0"/>
    <w:rsid w:val="00362C4C"/>
    <w:rsid w:val="00363ACD"/>
    <w:rsid w:val="003644DA"/>
    <w:rsid w:val="00364F61"/>
    <w:rsid w:val="00370FC4"/>
    <w:rsid w:val="0038187B"/>
    <w:rsid w:val="003832E8"/>
    <w:rsid w:val="00383EF3"/>
    <w:rsid w:val="00384C5A"/>
    <w:rsid w:val="00384D25"/>
    <w:rsid w:val="003908A9"/>
    <w:rsid w:val="00392268"/>
    <w:rsid w:val="003A1230"/>
    <w:rsid w:val="003A2C0C"/>
    <w:rsid w:val="003A317F"/>
    <w:rsid w:val="003A4CE8"/>
    <w:rsid w:val="003A538D"/>
    <w:rsid w:val="003B1406"/>
    <w:rsid w:val="003B2F0F"/>
    <w:rsid w:val="003B3D9F"/>
    <w:rsid w:val="003B5DB1"/>
    <w:rsid w:val="003B6075"/>
    <w:rsid w:val="003C091C"/>
    <w:rsid w:val="003C1358"/>
    <w:rsid w:val="003C46FF"/>
    <w:rsid w:val="003C4B6D"/>
    <w:rsid w:val="003C76EE"/>
    <w:rsid w:val="003C7A62"/>
    <w:rsid w:val="003D0A5E"/>
    <w:rsid w:val="003D1A72"/>
    <w:rsid w:val="003E158F"/>
    <w:rsid w:val="003E4A19"/>
    <w:rsid w:val="003E702C"/>
    <w:rsid w:val="003E71A2"/>
    <w:rsid w:val="003E7340"/>
    <w:rsid w:val="003F351F"/>
    <w:rsid w:val="003F5BAB"/>
    <w:rsid w:val="004011A3"/>
    <w:rsid w:val="00401467"/>
    <w:rsid w:val="004015BC"/>
    <w:rsid w:val="00402D81"/>
    <w:rsid w:val="004042AB"/>
    <w:rsid w:val="00404A56"/>
    <w:rsid w:val="00405F8D"/>
    <w:rsid w:val="004068E6"/>
    <w:rsid w:val="00410ED6"/>
    <w:rsid w:val="00412641"/>
    <w:rsid w:val="00412987"/>
    <w:rsid w:val="00412E64"/>
    <w:rsid w:val="0041646F"/>
    <w:rsid w:val="00421399"/>
    <w:rsid w:val="00421BA2"/>
    <w:rsid w:val="00422D57"/>
    <w:rsid w:val="004233B0"/>
    <w:rsid w:val="00424662"/>
    <w:rsid w:val="004247B9"/>
    <w:rsid w:val="004277C5"/>
    <w:rsid w:val="00431DC0"/>
    <w:rsid w:val="0043586F"/>
    <w:rsid w:val="00436771"/>
    <w:rsid w:val="0043777C"/>
    <w:rsid w:val="00445E9E"/>
    <w:rsid w:val="0044709B"/>
    <w:rsid w:val="00450D12"/>
    <w:rsid w:val="00453FB6"/>
    <w:rsid w:val="004560AD"/>
    <w:rsid w:val="00456432"/>
    <w:rsid w:val="004565A9"/>
    <w:rsid w:val="004569C8"/>
    <w:rsid w:val="0046271B"/>
    <w:rsid w:val="00463E99"/>
    <w:rsid w:val="0047412B"/>
    <w:rsid w:val="004757ED"/>
    <w:rsid w:val="0047681D"/>
    <w:rsid w:val="00485CEF"/>
    <w:rsid w:val="00487819"/>
    <w:rsid w:val="00493D42"/>
    <w:rsid w:val="00494364"/>
    <w:rsid w:val="004950C8"/>
    <w:rsid w:val="0049586C"/>
    <w:rsid w:val="004A0E13"/>
    <w:rsid w:val="004A0E33"/>
    <w:rsid w:val="004A29D8"/>
    <w:rsid w:val="004A3D37"/>
    <w:rsid w:val="004A3EAC"/>
    <w:rsid w:val="004A75C8"/>
    <w:rsid w:val="004B2BE9"/>
    <w:rsid w:val="004B48F1"/>
    <w:rsid w:val="004B7951"/>
    <w:rsid w:val="004B7EB4"/>
    <w:rsid w:val="004B7EDB"/>
    <w:rsid w:val="004C2929"/>
    <w:rsid w:val="004C2A4F"/>
    <w:rsid w:val="004C4696"/>
    <w:rsid w:val="004D31FC"/>
    <w:rsid w:val="004D7AF2"/>
    <w:rsid w:val="004E0616"/>
    <w:rsid w:val="004E1CCD"/>
    <w:rsid w:val="004E3CBB"/>
    <w:rsid w:val="004E4CE7"/>
    <w:rsid w:val="004E513E"/>
    <w:rsid w:val="004E5D6B"/>
    <w:rsid w:val="004F3812"/>
    <w:rsid w:val="004F432F"/>
    <w:rsid w:val="004F5DE6"/>
    <w:rsid w:val="004F70F9"/>
    <w:rsid w:val="005002FE"/>
    <w:rsid w:val="0050465D"/>
    <w:rsid w:val="005052AD"/>
    <w:rsid w:val="00511E5F"/>
    <w:rsid w:val="00517279"/>
    <w:rsid w:val="005178A7"/>
    <w:rsid w:val="0052012C"/>
    <w:rsid w:val="0052500F"/>
    <w:rsid w:val="00525FBB"/>
    <w:rsid w:val="005265F7"/>
    <w:rsid w:val="005306B4"/>
    <w:rsid w:val="00532CC5"/>
    <w:rsid w:val="00533709"/>
    <w:rsid w:val="00543BFA"/>
    <w:rsid w:val="00544047"/>
    <w:rsid w:val="00545A41"/>
    <w:rsid w:val="00550713"/>
    <w:rsid w:val="005529B3"/>
    <w:rsid w:val="005617BF"/>
    <w:rsid w:val="00571567"/>
    <w:rsid w:val="00572CCC"/>
    <w:rsid w:val="00576425"/>
    <w:rsid w:val="0058011D"/>
    <w:rsid w:val="0058142C"/>
    <w:rsid w:val="00583BAF"/>
    <w:rsid w:val="00586337"/>
    <w:rsid w:val="005908EB"/>
    <w:rsid w:val="00590CBE"/>
    <w:rsid w:val="0059316D"/>
    <w:rsid w:val="005938DA"/>
    <w:rsid w:val="0059660F"/>
    <w:rsid w:val="00597714"/>
    <w:rsid w:val="005A0941"/>
    <w:rsid w:val="005A315E"/>
    <w:rsid w:val="005A64DA"/>
    <w:rsid w:val="005B01C0"/>
    <w:rsid w:val="005B0751"/>
    <w:rsid w:val="005B1F73"/>
    <w:rsid w:val="005B25BA"/>
    <w:rsid w:val="005B3726"/>
    <w:rsid w:val="005B7700"/>
    <w:rsid w:val="005C04A0"/>
    <w:rsid w:val="005C2B94"/>
    <w:rsid w:val="005C4B45"/>
    <w:rsid w:val="005C4E00"/>
    <w:rsid w:val="005D5F17"/>
    <w:rsid w:val="005E0DAB"/>
    <w:rsid w:val="005E3234"/>
    <w:rsid w:val="005E4E3D"/>
    <w:rsid w:val="005E5ACA"/>
    <w:rsid w:val="005E7B33"/>
    <w:rsid w:val="005F047C"/>
    <w:rsid w:val="005F0B60"/>
    <w:rsid w:val="005F21C3"/>
    <w:rsid w:val="005F232E"/>
    <w:rsid w:val="005F3C6B"/>
    <w:rsid w:val="005F4CA1"/>
    <w:rsid w:val="005F4D73"/>
    <w:rsid w:val="00600FBD"/>
    <w:rsid w:val="00603D7A"/>
    <w:rsid w:val="00610504"/>
    <w:rsid w:val="00611492"/>
    <w:rsid w:val="00612A4F"/>
    <w:rsid w:val="00612CA5"/>
    <w:rsid w:val="006167F5"/>
    <w:rsid w:val="0062030D"/>
    <w:rsid w:val="00620B9D"/>
    <w:rsid w:val="00625290"/>
    <w:rsid w:val="00625945"/>
    <w:rsid w:val="0062665D"/>
    <w:rsid w:val="00630EFC"/>
    <w:rsid w:val="00630FE4"/>
    <w:rsid w:val="006346FB"/>
    <w:rsid w:val="0064034B"/>
    <w:rsid w:val="00642891"/>
    <w:rsid w:val="00647A9D"/>
    <w:rsid w:val="006503DB"/>
    <w:rsid w:val="00650B54"/>
    <w:rsid w:val="00652CC0"/>
    <w:rsid w:val="0065305D"/>
    <w:rsid w:val="00655A96"/>
    <w:rsid w:val="00662784"/>
    <w:rsid w:val="00663146"/>
    <w:rsid w:val="00665F71"/>
    <w:rsid w:val="006711E7"/>
    <w:rsid w:val="00672777"/>
    <w:rsid w:val="00672C45"/>
    <w:rsid w:val="0067339A"/>
    <w:rsid w:val="00673657"/>
    <w:rsid w:val="0068099C"/>
    <w:rsid w:val="00681B1F"/>
    <w:rsid w:val="0068525C"/>
    <w:rsid w:val="0068721C"/>
    <w:rsid w:val="0069225D"/>
    <w:rsid w:val="00695405"/>
    <w:rsid w:val="00695947"/>
    <w:rsid w:val="00695BA1"/>
    <w:rsid w:val="006A04C7"/>
    <w:rsid w:val="006A0F3F"/>
    <w:rsid w:val="006A1F14"/>
    <w:rsid w:val="006B07F2"/>
    <w:rsid w:val="006B5351"/>
    <w:rsid w:val="006B5D89"/>
    <w:rsid w:val="006B684E"/>
    <w:rsid w:val="006C1158"/>
    <w:rsid w:val="006C1984"/>
    <w:rsid w:val="006C383D"/>
    <w:rsid w:val="006C4440"/>
    <w:rsid w:val="006C7B16"/>
    <w:rsid w:val="006C7C76"/>
    <w:rsid w:val="006D3A14"/>
    <w:rsid w:val="006D4DF9"/>
    <w:rsid w:val="006D511E"/>
    <w:rsid w:val="006D6837"/>
    <w:rsid w:val="006E0506"/>
    <w:rsid w:val="006E6DFF"/>
    <w:rsid w:val="006F0D3E"/>
    <w:rsid w:val="0070183C"/>
    <w:rsid w:val="007028EC"/>
    <w:rsid w:val="007072A8"/>
    <w:rsid w:val="00707602"/>
    <w:rsid w:val="00711D31"/>
    <w:rsid w:val="00712BA8"/>
    <w:rsid w:val="00713537"/>
    <w:rsid w:val="00716D49"/>
    <w:rsid w:val="00720AC7"/>
    <w:rsid w:val="007218E7"/>
    <w:rsid w:val="00726078"/>
    <w:rsid w:val="00726B6C"/>
    <w:rsid w:val="00727C9D"/>
    <w:rsid w:val="00730762"/>
    <w:rsid w:val="00732D28"/>
    <w:rsid w:val="007337D6"/>
    <w:rsid w:val="00735539"/>
    <w:rsid w:val="0074079B"/>
    <w:rsid w:val="00743853"/>
    <w:rsid w:val="0074519B"/>
    <w:rsid w:val="00747495"/>
    <w:rsid w:val="00751901"/>
    <w:rsid w:val="00754432"/>
    <w:rsid w:val="00760C62"/>
    <w:rsid w:val="00762524"/>
    <w:rsid w:val="00766769"/>
    <w:rsid w:val="0077189B"/>
    <w:rsid w:val="00772C5B"/>
    <w:rsid w:val="00773B20"/>
    <w:rsid w:val="00773C69"/>
    <w:rsid w:val="00783F65"/>
    <w:rsid w:val="0078662B"/>
    <w:rsid w:val="007874A7"/>
    <w:rsid w:val="00795C5A"/>
    <w:rsid w:val="007963FD"/>
    <w:rsid w:val="007A08FD"/>
    <w:rsid w:val="007A192C"/>
    <w:rsid w:val="007A565F"/>
    <w:rsid w:val="007A62AD"/>
    <w:rsid w:val="007A790C"/>
    <w:rsid w:val="007B3517"/>
    <w:rsid w:val="007B3B43"/>
    <w:rsid w:val="007B54FB"/>
    <w:rsid w:val="007B64C1"/>
    <w:rsid w:val="007C12E6"/>
    <w:rsid w:val="007C1976"/>
    <w:rsid w:val="007C302A"/>
    <w:rsid w:val="007C3D03"/>
    <w:rsid w:val="007C5B88"/>
    <w:rsid w:val="007D107A"/>
    <w:rsid w:val="007D1494"/>
    <w:rsid w:val="007D169A"/>
    <w:rsid w:val="007D3BE9"/>
    <w:rsid w:val="007D4B2E"/>
    <w:rsid w:val="007D587D"/>
    <w:rsid w:val="007E3DA3"/>
    <w:rsid w:val="007E5E2F"/>
    <w:rsid w:val="007E5F49"/>
    <w:rsid w:val="007E7456"/>
    <w:rsid w:val="007E755C"/>
    <w:rsid w:val="007F1CF5"/>
    <w:rsid w:val="007F256F"/>
    <w:rsid w:val="007F31CB"/>
    <w:rsid w:val="007F4020"/>
    <w:rsid w:val="007F61F9"/>
    <w:rsid w:val="007F7A4B"/>
    <w:rsid w:val="007F7DCE"/>
    <w:rsid w:val="00801BEC"/>
    <w:rsid w:val="0080262B"/>
    <w:rsid w:val="00802871"/>
    <w:rsid w:val="00802FDD"/>
    <w:rsid w:val="0080607C"/>
    <w:rsid w:val="00810534"/>
    <w:rsid w:val="008133DB"/>
    <w:rsid w:val="0082736E"/>
    <w:rsid w:val="00827F64"/>
    <w:rsid w:val="008337C6"/>
    <w:rsid w:val="00834A20"/>
    <w:rsid w:val="0083616C"/>
    <w:rsid w:val="00840257"/>
    <w:rsid w:val="00842AD5"/>
    <w:rsid w:val="00844653"/>
    <w:rsid w:val="00850206"/>
    <w:rsid w:val="00853F61"/>
    <w:rsid w:val="00854C32"/>
    <w:rsid w:val="00855F1B"/>
    <w:rsid w:val="00860159"/>
    <w:rsid w:val="0086174E"/>
    <w:rsid w:val="00861BA8"/>
    <w:rsid w:val="00862D4C"/>
    <w:rsid w:val="0086636D"/>
    <w:rsid w:val="0086675F"/>
    <w:rsid w:val="00871804"/>
    <w:rsid w:val="00872EE8"/>
    <w:rsid w:val="00874EEC"/>
    <w:rsid w:val="00875A04"/>
    <w:rsid w:val="008776E3"/>
    <w:rsid w:val="008858A5"/>
    <w:rsid w:val="00886080"/>
    <w:rsid w:val="00886697"/>
    <w:rsid w:val="008869D9"/>
    <w:rsid w:val="00893291"/>
    <w:rsid w:val="00893983"/>
    <w:rsid w:val="00895C2C"/>
    <w:rsid w:val="00896A14"/>
    <w:rsid w:val="00897208"/>
    <w:rsid w:val="0089769E"/>
    <w:rsid w:val="008A2247"/>
    <w:rsid w:val="008A25F4"/>
    <w:rsid w:val="008A4955"/>
    <w:rsid w:val="008A4F58"/>
    <w:rsid w:val="008A74CF"/>
    <w:rsid w:val="008B334F"/>
    <w:rsid w:val="008B3489"/>
    <w:rsid w:val="008B41DE"/>
    <w:rsid w:val="008B5391"/>
    <w:rsid w:val="008B78D8"/>
    <w:rsid w:val="008B7A89"/>
    <w:rsid w:val="008C1348"/>
    <w:rsid w:val="008C283F"/>
    <w:rsid w:val="008C2AA3"/>
    <w:rsid w:val="008C67A4"/>
    <w:rsid w:val="008C7352"/>
    <w:rsid w:val="008C77FD"/>
    <w:rsid w:val="008D1927"/>
    <w:rsid w:val="008D333F"/>
    <w:rsid w:val="008D402E"/>
    <w:rsid w:val="008D5D33"/>
    <w:rsid w:val="008F29BF"/>
    <w:rsid w:val="008F2B19"/>
    <w:rsid w:val="008F3865"/>
    <w:rsid w:val="008F61FD"/>
    <w:rsid w:val="008F685A"/>
    <w:rsid w:val="009006A1"/>
    <w:rsid w:val="0090124C"/>
    <w:rsid w:val="0090582C"/>
    <w:rsid w:val="00907A0D"/>
    <w:rsid w:val="00912A6F"/>
    <w:rsid w:val="00912B05"/>
    <w:rsid w:val="00912F9A"/>
    <w:rsid w:val="00915BB1"/>
    <w:rsid w:val="00916424"/>
    <w:rsid w:val="00916CE1"/>
    <w:rsid w:val="00925A48"/>
    <w:rsid w:val="00926AA3"/>
    <w:rsid w:val="00927531"/>
    <w:rsid w:val="00927AB7"/>
    <w:rsid w:val="00930D25"/>
    <w:rsid w:val="00931549"/>
    <w:rsid w:val="009316A8"/>
    <w:rsid w:val="00934142"/>
    <w:rsid w:val="00937C01"/>
    <w:rsid w:val="0094081E"/>
    <w:rsid w:val="00940E22"/>
    <w:rsid w:val="00944324"/>
    <w:rsid w:val="00946F85"/>
    <w:rsid w:val="009511A1"/>
    <w:rsid w:val="00952FB9"/>
    <w:rsid w:val="009559E4"/>
    <w:rsid w:val="00955BC4"/>
    <w:rsid w:val="00955FA9"/>
    <w:rsid w:val="009577A3"/>
    <w:rsid w:val="00961B52"/>
    <w:rsid w:val="009711B2"/>
    <w:rsid w:val="00972AD2"/>
    <w:rsid w:val="0097359A"/>
    <w:rsid w:val="009779D0"/>
    <w:rsid w:val="009817DF"/>
    <w:rsid w:val="00982996"/>
    <w:rsid w:val="00983443"/>
    <w:rsid w:val="00983873"/>
    <w:rsid w:val="0098398D"/>
    <w:rsid w:val="00984829"/>
    <w:rsid w:val="00985A88"/>
    <w:rsid w:val="00985B26"/>
    <w:rsid w:val="0098798E"/>
    <w:rsid w:val="00991996"/>
    <w:rsid w:val="00991A3F"/>
    <w:rsid w:val="00997157"/>
    <w:rsid w:val="009A25BA"/>
    <w:rsid w:val="009A2C71"/>
    <w:rsid w:val="009A3878"/>
    <w:rsid w:val="009A5CF6"/>
    <w:rsid w:val="009A63AF"/>
    <w:rsid w:val="009A7BC6"/>
    <w:rsid w:val="009B05C5"/>
    <w:rsid w:val="009B4AE8"/>
    <w:rsid w:val="009B680C"/>
    <w:rsid w:val="009B6E39"/>
    <w:rsid w:val="009C00C7"/>
    <w:rsid w:val="009C01B2"/>
    <w:rsid w:val="009C1DDA"/>
    <w:rsid w:val="009C21C2"/>
    <w:rsid w:val="009C2518"/>
    <w:rsid w:val="009C412F"/>
    <w:rsid w:val="009C6089"/>
    <w:rsid w:val="009C6188"/>
    <w:rsid w:val="009C6E2E"/>
    <w:rsid w:val="009D20BD"/>
    <w:rsid w:val="009D3923"/>
    <w:rsid w:val="009D41DE"/>
    <w:rsid w:val="009D4DE5"/>
    <w:rsid w:val="009D6679"/>
    <w:rsid w:val="009E2146"/>
    <w:rsid w:val="009E2834"/>
    <w:rsid w:val="009E2C53"/>
    <w:rsid w:val="009F0A4D"/>
    <w:rsid w:val="009F18E1"/>
    <w:rsid w:val="009F3C98"/>
    <w:rsid w:val="009F5E03"/>
    <w:rsid w:val="009F7E22"/>
    <w:rsid w:val="00A03DE2"/>
    <w:rsid w:val="00A03FB4"/>
    <w:rsid w:val="00A04C2F"/>
    <w:rsid w:val="00A06986"/>
    <w:rsid w:val="00A110EC"/>
    <w:rsid w:val="00A116D9"/>
    <w:rsid w:val="00A12AE1"/>
    <w:rsid w:val="00A14FCC"/>
    <w:rsid w:val="00A20A65"/>
    <w:rsid w:val="00A25227"/>
    <w:rsid w:val="00A25E73"/>
    <w:rsid w:val="00A3066B"/>
    <w:rsid w:val="00A31870"/>
    <w:rsid w:val="00A3425E"/>
    <w:rsid w:val="00A347BD"/>
    <w:rsid w:val="00A3745B"/>
    <w:rsid w:val="00A43E67"/>
    <w:rsid w:val="00A46FDB"/>
    <w:rsid w:val="00A53260"/>
    <w:rsid w:val="00A5600A"/>
    <w:rsid w:val="00A579BF"/>
    <w:rsid w:val="00A603EB"/>
    <w:rsid w:val="00A6199F"/>
    <w:rsid w:val="00A619F4"/>
    <w:rsid w:val="00A65233"/>
    <w:rsid w:val="00A66700"/>
    <w:rsid w:val="00A73CE3"/>
    <w:rsid w:val="00A74EF0"/>
    <w:rsid w:val="00A8245B"/>
    <w:rsid w:val="00A82B66"/>
    <w:rsid w:val="00A82D7A"/>
    <w:rsid w:val="00A85434"/>
    <w:rsid w:val="00A85601"/>
    <w:rsid w:val="00A861C7"/>
    <w:rsid w:val="00A92BA8"/>
    <w:rsid w:val="00A94B2B"/>
    <w:rsid w:val="00A97AD3"/>
    <w:rsid w:val="00A97F8E"/>
    <w:rsid w:val="00AA0886"/>
    <w:rsid w:val="00AA3F10"/>
    <w:rsid w:val="00AA449D"/>
    <w:rsid w:val="00AA5C90"/>
    <w:rsid w:val="00AA5D4C"/>
    <w:rsid w:val="00AA67E3"/>
    <w:rsid w:val="00AB1C61"/>
    <w:rsid w:val="00AB1DF5"/>
    <w:rsid w:val="00AB5E60"/>
    <w:rsid w:val="00AB639B"/>
    <w:rsid w:val="00AC0528"/>
    <w:rsid w:val="00AC2FFB"/>
    <w:rsid w:val="00AC758B"/>
    <w:rsid w:val="00AC78F1"/>
    <w:rsid w:val="00AC7D68"/>
    <w:rsid w:val="00AD0603"/>
    <w:rsid w:val="00AD1566"/>
    <w:rsid w:val="00AD1D01"/>
    <w:rsid w:val="00AD3886"/>
    <w:rsid w:val="00AD47F3"/>
    <w:rsid w:val="00AD4ABD"/>
    <w:rsid w:val="00AF0E08"/>
    <w:rsid w:val="00AF2331"/>
    <w:rsid w:val="00AF2CB3"/>
    <w:rsid w:val="00AF41B3"/>
    <w:rsid w:val="00AF768D"/>
    <w:rsid w:val="00AF7C9D"/>
    <w:rsid w:val="00AF7E46"/>
    <w:rsid w:val="00B00356"/>
    <w:rsid w:val="00B01199"/>
    <w:rsid w:val="00B03378"/>
    <w:rsid w:val="00B066BF"/>
    <w:rsid w:val="00B06765"/>
    <w:rsid w:val="00B106DE"/>
    <w:rsid w:val="00B10C6A"/>
    <w:rsid w:val="00B113B4"/>
    <w:rsid w:val="00B161E4"/>
    <w:rsid w:val="00B21AC4"/>
    <w:rsid w:val="00B244B5"/>
    <w:rsid w:val="00B328BD"/>
    <w:rsid w:val="00B360D5"/>
    <w:rsid w:val="00B41014"/>
    <w:rsid w:val="00B41A25"/>
    <w:rsid w:val="00B420E9"/>
    <w:rsid w:val="00B44E62"/>
    <w:rsid w:val="00B45037"/>
    <w:rsid w:val="00B468B9"/>
    <w:rsid w:val="00B5178F"/>
    <w:rsid w:val="00B51F0F"/>
    <w:rsid w:val="00B52DD0"/>
    <w:rsid w:val="00B5341E"/>
    <w:rsid w:val="00B54D60"/>
    <w:rsid w:val="00B55F42"/>
    <w:rsid w:val="00B57AAA"/>
    <w:rsid w:val="00B60D45"/>
    <w:rsid w:val="00B626F4"/>
    <w:rsid w:val="00B6365B"/>
    <w:rsid w:val="00B716DA"/>
    <w:rsid w:val="00B719BD"/>
    <w:rsid w:val="00B722F5"/>
    <w:rsid w:val="00B735E4"/>
    <w:rsid w:val="00B7462B"/>
    <w:rsid w:val="00B75C33"/>
    <w:rsid w:val="00B76B93"/>
    <w:rsid w:val="00B76B9D"/>
    <w:rsid w:val="00B77DA8"/>
    <w:rsid w:val="00B81E00"/>
    <w:rsid w:val="00B82932"/>
    <w:rsid w:val="00B83109"/>
    <w:rsid w:val="00B87C16"/>
    <w:rsid w:val="00B90F3C"/>
    <w:rsid w:val="00B93B7E"/>
    <w:rsid w:val="00BA0157"/>
    <w:rsid w:val="00BA34AE"/>
    <w:rsid w:val="00BA3EFC"/>
    <w:rsid w:val="00BA3F0C"/>
    <w:rsid w:val="00BA4621"/>
    <w:rsid w:val="00BA5644"/>
    <w:rsid w:val="00BB056D"/>
    <w:rsid w:val="00BB1753"/>
    <w:rsid w:val="00BC2838"/>
    <w:rsid w:val="00BC2A64"/>
    <w:rsid w:val="00BD0747"/>
    <w:rsid w:val="00BD15C9"/>
    <w:rsid w:val="00BD2C55"/>
    <w:rsid w:val="00BE049E"/>
    <w:rsid w:val="00BE0616"/>
    <w:rsid w:val="00BE5C7D"/>
    <w:rsid w:val="00BF02A9"/>
    <w:rsid w:val="00BF217F"/>
    <w:rsid w:val="00BF2A8B"/>
    <w:rsid w:val="00BF2E91"/>
    <w:rsid w:val="00BF5783"/>
    <w:rsid w:val="00BF594C"/>
    <w:rsid w:val="00BF5B3F"/>
    <w:rsid w:val="00C0027A"/>
    <w:rsid w:val="00C02384"/>
    <w:rsid w:val="00C052EF"/>
    <w:rsid w:val="00C07259"/>
    <w:rsid w:val="00C10618"/>
    <w:rsid w:val="00C10761"/>
    <w:rsid w:val="00C12EFF"/>
    <w:rsid w:val="00C25E01"/>
    <w:rsid w:val="00C27D30"/>
    <w:rsid w:val="00C41E18"/>
    <w:rsid w:val="00C424B9"/>
    <w:rsid w:val="00C42E7B"/>
    <w:rsid w:val="00C445CC"/>
    <w:rsid w:val="00C46601"/>
    <w:rsid w:val="00C5256D"/>
    <w:rsid w:val="00C5450B"/>
    <w:rsid w:val="00C56EC5"/>
    <w:rsid w:val="00C57FBB"/>
    <w:rsid w:val="00C61D7F"/>
    <w:rsid w:val="00C64845"/>
    <w:rsid w:val="00C6490D"/>
    <w:rsid w:val="00C649DF"/>
    <w:rsid w:val="00C6565F"/>
    <w:rsid w:val="00C709BB"/>
    <w:rsid w:val="00C72E1D"/>
    <w:rsid w:val="00C77670"/>
    <w:rsid w:val="00C77E4E"/>
    <w:rsid w:val="00C816DC"/>
    <w:rsid w:val="00C848BD"/>
    <w:rsid w:val="00C86E84"/>
    <w:rsid w:val="00C87F04"/>
    <w:rsid w:val="00C906CD"/>
    <w:rsid w:val="00C91396"/>
    <w:rsid w:val="00C91BFE"/>
    <w:rsid w:val="00C9214E"/>
    <w:rsid w:val="00C939B7"/>
    <w:rsid w:val="00C95632"/>
    <w:rsid w:val="00C95F17"/>
    <w:rsid w:val="00CA1D62"/>
    <w:rsid w:val="00CA308F"/>
    <w:rsid w:val="00CA3F9D"/>
    <w:rsid w:val="00CA4575"/>
    <w:rsid w:val="00CA560B"/>
    <w:rsid w:val="00CB10B6"/>
    <w:rsid w:val="00CB6405"/>
    <w:rsid w:val="00CD235A"/>
    <w:rsid w:val="00CD270C"/>
    <w:rsid w:val="00CD4B48"/>
    <w:rsid w:val="00CD57F6"/>
    <w:rsid w:val="00CE5EBA"/>
    <w:rsid w:val="00CF18F7"/>
    <w:rsid w:val="00CF2753"/>
    <w:rsid w:val="00D01661"/>
    <w:rsid w:val="00D04727"/>
    <w:rsid w:val="00D0741F"/>
    <w:rsid w:val="00D11CCB"/>
    <w:rsid w:val="00D135B7"/>
    <w:rsid w:val="00D13D3E"/>
    <w:rsid w:val="00D15EB0"/>
    <w:rsid w:val="00D20A46"/>
    <w:rsid w:val="00D22BCB"/>
    <w:rsid w:val="00D25F34"/>
    <w:rsid w:val="00D30108"/>
    <w:rsid w:val="00D3397A"/>
    <w:rsid w:val="00D349B1"/>
    <w:rsid w:val="00D36092"/>
    <w:rsid w:val="00D367BF"/>
    <w:rsid w:val="00D37655"/>
    <w:rsid w:val="00D37688"/>
    <w:rsid w:val="00D4133D"/>
    <w:rsid w:val="00D41B36"/>
    <w:rsid w:val="00D4383A"/>
    <w:rsid w:val="00D43867"/>
    <w:rsid w:val="00D44926"/>
    <w:rsid w:val="00D45E95"/>
    <w:rsid w:val="00D46327"/>
    <w:rsid w:val="00D46A9D"/>
    <w:rsid w:val="00D475BE"/>
    <w:rsid w:val="00D5015C"/>
    <w:rsid w:val="00D508C4"/>
    <w:rsid w:val="00D52C9C"/>
    <w:rsid w:val="00D53107"/>
    <w:rsid w:val="00D54963"/>
    <w:rsid w:val="00D6433B"/>
    <w:rsid w:val="00D649B0"/>
    <w:rsid w:val="00D66580"/>
    <w:rsid w:val="00D6660A"/>
    <w:rsid w:val="00D7014E"/>
    <w:rsid w:val="00D753CE"/>
    <w:rsid w:val="00D756FB"/>
    <w:rsid w:val="00D7609C"/>
    <w:rsid w:val="00D8111E"/>
    <w:rsid w:val="00D814B9"/>
    <w:rsid w:val="00D872D7"/>
    <w:rsid w:val="00D875F2"/>
    <w:rsid w:val="00D931A6"/>
    <w:rsid w:val="00D9441C"/>
    <w:rsid w:val="00D951DA"/>
    <w:rsid w:val="00DA3639"/>
    <w:rsid w:val="00DA3E10"/>
    <w:rsid w:val="00DA6955"/>
    <w:rsid w:val="00DA69C8"/>
    <w:rsid w:val="00DB0692"/>
    <w:rsid w:val="00DB113A"/>
    <w:rsid w:val="00DB4907"/>
    <w:rsid w:val="00DC0C66"/>
    <w:rsid w:val="00DC1227"/>
    <w:rsid w:val="00DC401F"/>
    <w:rsid w:val="00DC46C0"/>
    <w:rsid w:val="00DC6850"/>
    <w:rsid w:val="00DC6F2F"/>
    <w:rsid w:val="00DC7BF5"/>
    <w:rsid w:val="00DD1134"/>
    <w:rsid w:val="00DD324D"/>
    <w:rsid w:val="00DD4EB2"/>
    <w:rsid w:val="00DD581E"/>
    <w:rsid w:val="00DD7633"/>
    <w:rsid w:val="00DE0E72"/>
    <w:rsid w:val="00DE1AB5"/>
    <w:rsid w:val="00DE260C"/>
    <w:rsid w:val="00DE3B2E"/>
    <w:rsid w:val="00DE5C6A"/>
    <w:rsid w:val="00DF0A2C"/>
    <w:rsid w:val="00DF5B51"/>
    <w:rsid w:val="00DF6F90"/>
    <w:rsid w:val="00E04645"/>
    <w:rsid w:val="00E0556F"/>
    <w:rsid w:val="00E0742D"/>
    <w:rsid w:val="00E12252"/>
    <w:rsid w:val="00E13317"/>
    <w:rsid w:val="00E14307"/>
    <w:rsid w:val="00E15A43"/>
    <w:rsid w:val="00E16684"/>
    <w:rsid w:val="00E21AEB"/>
    <w:rsid w:val="00E22D57"/>
    <w:rsid w:val="00E2554E"/>
    <w:rsid w:val="00E36F24"/>
    <w:rsid w:val="00E379D3"/>
    <w:rsid w:val="00E40C1E"/>
    <w:rsid w:val="00E44BE1"/>
    <w:rsid w:val="00E46BDC"/>
    <w:rsid w:val="00E50995"/>
    <w:rsid w:val="00E5236E"/>
    <w:rsid w:val="00E53919"/>
    <w:rsid w:val="00E55DBF"/>
    <w:rsid w:val="00E61763"/>
    <w:rsid w:val="00E64A47"/>
    <w:rsid w:val="00E65287"/>
    <w:rsid w:val="00E6551D"/>
    <w:rsid w:val="00E65CC5"/>
    <w:rsid w:val="00E65D5E"/>
    <w:rsid w:val="00E66F52"/>
    <w:rsid w:val="00E7000A"/>
    <w:rsid w:val="00E704A4"/>
    <w:rsid w:val="00E717C1"/>
    <w:rsid w:val="00E7603B"/>
    <w:rsid w:val="00E776C8"/>
    <w:rsid w:val="00E81AEA"/>
    <w:rsid w:val="00E81FB1"/>
    <w:rsid w:val="00E84B56"/>
    <w:rsid w:val="00E85F30"/>
    <w:rsid w:val="00E876AC"/>
    <w:rsid w:val="00E91CA1"/>
    <w:rsid w:val="00E9456E"/>
    <w:rsid w:val="00EA074D"/>
    <w:rsid w:val="00EA218B"/>
    <w:rsid w:val="00EA492C"/>
    <w:rsid w:val="00EA77EE"/>
    <w:rsid w:val="00EB24A7"/>
    <w:rsid w:val="00EB3515"/>
    <w:rsid w:val="00EB5502"/>
    <w:rsid w:val="00EB5ECA"/>
    <w:rsid w:val="00EC0427"/>
    <w:rsid w:val="00EC4D2C"/>
    <w:rsid w:val="00ED2A74"/>
    <w:rsid w:val="00ED355B"/>
    <w:rsid w:val="00ED4A22"/>
    <w:rsid w:val="00ED5721"/>
    <w:rsid w:val="00ED59FE"/>
    <w:rsid w:val="00EE0010"/>
    <w:rsid w:val="00EE3C39"/>
    <w:rsid w:val="00EE4C32"/>
    <w:rsid w:val="00EE5B30"/>
    <w:rsid w:val="00EE5CA3"/>
    <w:rsid w:val="00EF087C"/>
    <w:rsid w:val="00EF39A0"/>
    <w:rsid w:val="00EF4E2B"/>
    <w:rsid w:val="00EF6A21"/>
    <w:rsid w:val="00EF6A48"/>
    <w:rsid w:val="00EF7620"/>
    <w:rsid w:val="00F02DC6"/>
    <w:rsid w:val="00F03B1F"/>
    <w:rsid w:val="00F053D0"/>
    <w:rsid w:val="00F0585F"/>
    <w:rsid w:val="00F071BF"/>
    <w:rsid w:val="00F073E3"/>
    <w:rsid w:val="00F118D3"/>
    <w:rsid w:val="00F118EE"/>
    <w:rsid w:val="00F16B97"/>
    <w:rsid w:val="00F16EBE"/>
    <w:rsid w:val="00F17915"/>
    <w:rsid w:val="00F2010A"/>
    <w:rsid w:val="00F23494"/>
    <w:rsid w:val="00F24880"/>
    <w:rsid w:val="00F3203A"/>
    <w:rsid w:val="00F322B6"/>
    <w:rsid w:val="00F35CC6"/>
    <w:rsid w:val="00F37FEB"/>
    <w:rsid w:val="00F4182D"/>
    <w:rsid w:val="00F41967"/>
    <w:rsid w:val="00F44BD5"/>
    <w:rsid w:val="00F465E3"/>
    <w:rsid w:val="00F47677"/>
    <w:rsid w:val="00F5247A"/>
    <w:rsid w:val="00F530C0"/>
    <w:rsid w:val="00F53582"/>
    <w:rsid w:val="00F56A2F"/>
    <w:rsid w:val="00F616EB"/>
    <w:rsid w:val="00F648B8"/>
    <w:rsid w:val="00F65A27"/>
    <w:rsid w:val="00F66380"/>
    <w:rsid w:val="00F67D0C"/>
    <w:rsid w:val="00F71085"/>
    <w:rsid w:val="00F729E8"/>
    <w:rsid w:val="00F74568"/>
    <w:rsid w:val="00F75764"/>
    <w:rsid w:val="00F80BA5"/>
    <w:rsid w:val="00F830A2"/>
    <w:rsid w:val="00F84BCE"/>
    <w:rsid w:val="00F91E09"/>
    <w:rsid w:val="00F934B5"/>
    <w:rsid w:val="00F95817"/>
    <w:rsid w:val="00FA1636"/>
    <w:rsid w:val="00FA41FF"/>
    <w:rsid w:val="00FA4DFF"/>
    <w:rsid w:val="00FA56D1"/>
    <w:rsid w:val="00FB22B1"/>
    <w:rsid w:val="00FB3785"/>
    <w:rsid w:val="00FC0A96"/>
    <w:rsid w:val="00FC0B8D"/>
    <w:rsid w:val="00FC1E12"/>
    <w:rsid w:val="00FC3C66"/>
    <w:rsid w:val="00FC49D0"/>
    <w:rsid w:val="00FC585B"/>
    <w:rsid w:val="00FD3B15"/>
    <w:rsid w:val="00FD46C9"/>
    <w:rsid w:val="00FD51C5"/>
    <w:rsid w:val="00FD526B"/>
    <w:rsid w:val="00FD6518"/>
    <w:rsid w:val="00FD6ED1"/>
    <w:rsid w:val="00FE20D6"/>
    <w:rsid w:val="00FE3BA2"/>
    <w:rsid w:val="00FE6452"/>
    <w:rsid w:val="00FE6954"/>
    <w:rsid w:val="00FF1A7F"/>
    <w:rsid w:val="00FF417C"/>
    <w:rsid w:val="00FF4C55"/>
    <w:rsid w:val="00FF5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918C2"/>
  <w15:docId w15:val="{9255CB01-6D25-4039-842F-EB4A40C7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eastAsia="en-US"/>
    </w:rPr>
  </w:style>
  <w:style w:type="character" w:customStyle="1" w:styleId="80">
    <w:name w:val="Заголовок 8 Знак"/>
    <w:link w:val="8"/>
    <w:uiPriority w:val="99"/>
    <w:locked/>
    <w:rsid w:val="002C70C1"/>
    <w:rPr>
      <w:rFonts w:cs="Times New Roman"/>
      <w:sz w:val="24"/>
      <w:lang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sid w:val="00FF5430"/>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sid w:val="00FF5430"/>
    <w:rPr>
      <w:rFonts w:cs="Times New Roman"/>
      <w:b/>
      <w:bCs/>
      <w:sz w:val="20"/>
      <w:szCs w:val="20"/>
      <w:lang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eastAsia="ru-RU"/>
    </w:rPr>
  </w:style>
  <w:style w:type="character" w:customStyle="1" w:styleId="ab">
    <w:name w:val="Тема примечания Знак"/>
    <w:uiPriority w:val="99"/>
    <w:semiHidden/>
    <w:rsid w:val="00FF5430"/>
    <w:rPr>
      <w:rFonts w:cs="Times New Roman"/>
      <w:b/>
      <w:bCs/>
      <w:sz w:val="20"/>
      <w:szCs w:val="20"/>
      <w:lang w:eastAsia="ru-RU"/>
    </w:rPr>
  </w:style>
  <w:style w:type="character" w:customStyle="1" w:styleId="CommentSubjectChar1">
    <w:name w:val="Comment Subject Char1"/>
    <w:uiPriority w:val="99"/>
    <w:semiHidden/>
    <w:rsid w:val="00FF5430"/>
    <w:rPr>
      <w:rFonts w:cs="Times New Roman"/>
      <w:b/>
      <w:bCs/>
      <w:sz w:val="20"/>
      <w:szCs w:val="20"/>
      <w:lang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sid w:val="00FF5430"/>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sid w:val="00FF5430"/>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FF5430"/>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sid w:val="00FF5430"/>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FF5430"/>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FF5430"/>
    <w:rPr>
      <w:rFonts w:ascii="Courier New" w:hAnsi="Courier New" w:cs="Courier New"/>
      <w:sz w:val="20"/>
      <w:szCs w:val="20"/>
    </w:rPr>
  </w:style>
  <w:style w:type="character" w:styleId="af3">
    <w:name w:val="Strong"/>
    <w:uiPriority w:val="22"/>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character" w:customStyle="1" w:styleId="subst0">
    <w:name w:val="subst"/>
    <w:rsid w:val="00E46BDC"/>
    <w:rPr>
      <w:b/>
      <w:bCs/>
      <w:i/>
      <w:iCs/>
    </w:rPr>
  </w:style>
  <w:style w:type="paragraph" w:styleId="af9">
    <w:name w:val="Revision"/>
    <w:hidden/>
    <w:uiPriority w:val="99"/>
    <w:semiHidden/>
    <w:rsid w:val="00A85434"/>
  </w:style>
  <w:style w:type="paragraph" w:styleId="afa">
    <w:name w:val="Normal (Web)"/>
    <w:basedOn w:val="a"/>
    <w:uiPriority w:val="99"/>
    <w:unhideWhenUsed/>
    <w:rsid w:val="002D7223"/>
    <w:pPr>
      <w:autoSpaceDE/>
      <w:autoSpaceDN/>
      <w:spacing w:before="100" w:beforeAutospacing="1" w:after="100" w:afterAutospacing="1"/>
    </w:pPr>
    <w:rPr>
      <w:rFonts w:eastAsiaTheme="minorHAnsi"/>
      <w:sz w:val="24"/>
      <w:szCs w:val="24"/>
    </w:rPr>
  </w:style>
  <w:style w:type="character" w:customStyle="1" w:styleId="footer-content-block-item-text">
    <w:name w:val="footer-content-block-item-text"/>
    <w:basedOn w:val="a0"/>
    <w:rsid w:val="008C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9021">
      <w:bodyDiv w:val="1"/>
      <w:marLeft w:val="0"/>
      <w:marRight w:val="0"/>
      <w:marTop w:val="0"/>
      <w:marBottom w:val="0"/>
      <w:divBdr>
        <w:top w:val="none" w:sz="0" w:space="0" w:color="auto"/>
        <w:left w:val="none" w:sz="0" w:space="0" w:color="auto"/>
        <w:bottom w:val="none" w:sz="0" w:space="0" w:color="auto"/>
        <w:right w:val="none" w:sz="0" w:space="0" w:color="auto"/>
      </w:divBdr>
    </w:div>
    <w:div w:id="521825172">
      <w:bodyDiv w:val="1"/>
      <w:marLeft w:val="0"/>
      <w:marRight w:val="0"/>
      <w:marTop w:val="0"/>
      <w:marBottom w:val="0"/>
      <w:divBdr>
        <w:top w:val="none" w:sz="0" w:space="0" w:color="auto"/>
        <w:left w:val="none" w:sz="0" w:space="0" w:color="auto"/>
        <w:bottom w:val="none" w:sz="0" w:space="0" w:color="auto"/>
        <w:right w:val="none" w:sz="0" w:space="0" w:color="auto"/>
      </w:divBdr>
    </w:div>
    <w:div w:id="549730095">
      <w:bodyDiv w:val="1"/>
      <w:marLeft w:val="0"/>
      <w:marRight w:val="0"/>
      <w:marTop w:val="0"/>
      <w:marBottom w:val="0"/>
      <w:divBdr>
        <w:top w:val="none" w:sz="0" w:space="0" w:color="auto"/>
        <w:left w:val="none" w:sz="0" w:space="0" w:color="auto"/>
        <w:bottom w:val="none" w:sz="0" w:space="0" w:color="auto"/>
        <w:right w:val="none" w:sz="0" w:space="0" w:color="auto"/>
      </w:divBdr>
    </w:div>
    <w:div w:id="774522960">
      <w:bodyDiv w:val="1"/>
      <w:marLeft w:val="0"/>
      <w:marRight w:val="0"/>
      <w:marTop w:val="0"/>
      <w:marBottom w:val="0"/>
      <w:divBdr>
        <w:top w:val="none" w:sz="0" w:space="0" w:color="auto"/>
        <w:left w:val="none" w:sz="0" w:space="0" w:color="auto"/>
        <w:bottom w:val="none" w:sz="0" w:space="0" w:color="auto"/>
        <w:right w:val="none" w:sz="0" w:space="0" w:color="auto"/>
      </w:divBdr>
    </w:div>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20176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1305-DBBA-4A51-A658-50EFA0DF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7359</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Шишканова Татьяна Федоровна</dc:creator>
  <cp:lastModifiedBy>Shishkanova</cp:lastModifiedBy>
  <cp:revision>2</cp:revision>
  <dcterms:created xsi:type="dcterms:W3CDTF">2020-04-30T07:54:00Z</dcterms:created>
  <dcterms:modified xsi:type="dcterms:W3CDTF">2020-04-30T07:54:00Z</dcterms:modified>
</cp:coreProperties>
</file>